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226AC2" w14:textId="5FF2C3B4" w:rsidR="00A12734" w:rsidRDefault="00A12734" w:rsidP="008074A9">
      <w:pPr>
        <w:pStyle w:val="BodyTextSingle"/>
        <w:tabs>
          <w:tab w:val="left" w:pos="1170"/>
        </w:tabs>
        <w:spacing w:line="360" w:lineRule="auto"/>
        <w:rPr>
          <w:rFonts w:ascii="Lato" w:hAnsi="Lato"/>
          <w:b/>
          <w:spacing w:val="-1"/>
          <w:sz w:val="48"/>
          <w:szCs w:val="48"/>
        </w:rPr>
      </w:pPr>
      <w:r>
        <w:rPr>
          <w:noProof/>
        </w:rPr>
        <w:drawing>
          <wp:anchor distT="0" distB="0" distL="114300" distR="114300" simplePos="0" relativeHeight="251659264" behindDoc="0" locked="0" layoutInCell="1" allowOverlap="1" wp14:anchorId="42638A8F" wp14:editId="6E4DF989">
            <wp:simplePos x="0" y="0"/>
            <wp:positionH relativeFrom="column">
              <wp:posOffset>2291080</wp:posOffset>
            </wp:positionH>
            <wp:positionV relativeFrom="paragraph">
              <wp:posOffset>190500</wp:posOffset>
            </wp:positionV>
            <wp:extent cx="1341120" cy="6858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41120" cy="685800"/>
                    </a:xfrm>
                    <a:prstGeom prst="rect">
                      <a:avLst/>
                    </a:prstGeom>
                    <a:noFill/>
                  </pic:spPr>
                </pic:pic>
              </a:graphicData>
            </a:graphic>
            <wp14:sizeRelH relativeFrom="page">
              <wp14:pctWidth>0</wp14:pctWidth>
            </wp14:sizeRelH>
            <wp14:sizeRelV relativeFrom="page">
              <wp14:pctHeight>0</wp14:pctHeight>
            </wp14:sizeRelV>
          </wp:anchor>
        </w:drawing>
      </w:r>
    </w:p>
    <w:p w14:paraId="70C75034" w14:textId="77777777" w:rsidR="008074A9" w:rsidRDefault="008074A9" w:rsidP="003C1EF6">
      <w:pPr>
        <w:pStyle w:val="BodyTextSingle"/>
        <w:tabs>
          <w:tab w:val="left" w:pos="1170"/>
        </w:tabs>
        <w:spacing w:line="360" w:lineRule="auto"/>
        <w:jc w:val="center"/>
        <w:rPr>
          <w:rFonts w:ascii="Lato" w:hAnsi="Lato"/>
          <w:b/>
          <w:spacing w:val="-1"/>
          <w:sz w:val="48"/>
          <w:szCs w:val="48"/>
        </w:rPr>
      </w:pPr>
    </w:p>
    <w:p w14:paraId="50ECDE74" w14:textId="53CEACDE" w:rsidR="004E2AC6" w:rsidRDefault="00A12734" w:rsidP="00463032">
      <w:pPr>
        <w:pStyle w:val="BodyTextSingle"/>
        <w:tabs>
          <w:tab w:val="left" w:pos="1170"/>
        </w:tabs>
        <w:spacing w:after="0"/>
        <w:jc w:val="center"/>
        <w:rPr>
          <w:rFonts w:ascii="Lato" w:hAnsi="Lato"/>
          <w:b/>
          <w:spacing w:val="-1"/>
          <w:sz w:val="48"/>
          <w:szCs w:val="48"/>
        </w:rPr>
        <w:sectPr w:rsidR="004E2AC6" w:rsidSect="00EB6428">
          <w:footerReference w:type="default" r:id="rId9"/>
          <w:footerReference w:type="first" r:id="rId10"/>
          <w:footnotePr>
            <w:numFmt w:val="chicago"/>
          </w:footnotePr>
          <w:pgSz w:w="12240" w:h="15840" w:code="1"/>
          <w:pgMar w:top="1440" w:right="1440" w:bottom="1440" w:left="1440" w:header="720" w:footer="720" w:gutter="0"/>
          <w:cols w:space="720"/>
          <w:titlePg/>
          <w:docGrid w:linePitch="326"/>
        </w:sectPr>
      </w:pPr>
      <w:r>
        <w:rPr>
          <w:rFonts w:ascii="Lato" w:hAnsi="Lato"/>
          <w:b/>
          <w:spacing w:val="-1"/>
          <w:sz w:val="48"/>
          <w:szCs w:val="48"/>
        </w:rPr>
        <w:t xml:space="preserve">Template Disclosures for </w:t>
      </w:r>
      <w:r w:rsidR="002B1A17">
        <w:rPr>
          <w:rFonts w:ascii="Lato" w:hAnsi="Lato"/>
          <w:b/>
          <w:spacing w:val="-1"/>
          <w:sz w:val="48"/>
          <w:szCs w:val="48"/>
        </w:rPr>
        <w:t xml:space="preserve">FCMs </w:t>
      </w:r>
      <w:r w:rsidR="00D750EB">
        <w:rPr>
          <w:rFonts w:ascii="Lato" w:hAnsi="Lato"/>
          <w:b/>
          <w:spacing w:val="-1"/>
          <w:sz w:val="48"/>
          <w:szCs w:val="48"/>
        </w:rPr>
        <w:t>Regarding Separate Accoun</w:t>
      </w:r>
      <w:r w:rsidR="004E2AC6">
        <w:rPr>
          <w:rFonts w:ascii="Lato" w:hAnsi="Lato"/>
          <w:b/>
          <w:spacing w:val="-1"/>
          <w:sz w:val="48"/>
          <w:szCs w:val="48"/>
        </w:rPr>
        <w:t>ts</w:t>
      </w:r>
      <w:r w:rsidR="004E2AC6" w:rsidRPr="00615C5A">
        <w:rPr>
          <w:rStyle w:val="FootnoteReference"/>
          <w:rFonts w:ascii="Lato" w:hAnsi="Lato"/>
          <w:b/>
          <w:color w:val="00B0F0"/>
          <w:spacing w:val="-1"/>
          <w:sz w:val="52"/>
          <w:szCs w:val="52"/>
        </w:rPr>
        <w:footnoteReference w:id="1"/>
      </w:r>
    </w:p>
    <w:p w14:paraId="1B6AC83D" w14:textId="77777777" w:rsidR="002F7F9E" w:rsidRDefault="002F7F9E" w:rsidP="00EB6428">
      <w:pPr>
        <w:pStyle w:val="BodyTextSingle"/>
        <w:tabs>
          <w:tab w:val="left" w:pos="1170"/>
        </w:tabs>
        <w:spacing w:line="360" w:lineRule="auto"/>
        <w:jc w:val="center"/>
        <w:rPr>
          <w:rFonts w:ascii="Lato" w:hAnsi="Lato"/>
          <w:b/>
          <w:u w:val="single"/>
        </w:rPr>
      </w:pPr>
    </w:p>
    <w:p w14:paraId="65668FF7" w14:textId="1700F95B" w:rsidR="00521CBF" w:rsidRPr="001B3B34" w:rsidRDefault="00607D9A" w:rsidP="00EB6428">
      <w:pPr>
        <w:pStyle w:val="BodyTextSingle"/>
        <w:tabs>
          <w:tab w:val="left" w:pos="1170"/>
        </w:tabs>
        <w:spacing w:line="360" w:lineRule="auto"/>
        <w:jc w:val="center"/>
        <w:rPr>
          <w:rFonts w:ascii="Lato" w:hAnsi="Lato"/>
          <w:b/>
          <w:u w:val="single"/>
        </w:rPr>
      </w:pPr>
      <w:r w:rsidRPr="001B3B34">
        <w:rPr>
          <w:rFonts w:ascii="Lato" w:hAnsi="Lato"/>
          <w:b/>
          <w:u w:val="single"/>
        </w:rPr>
        <w:t xml:space="preserve">PART 190 </w:t>
      </w:r>
      <w:r w:rsidR="00795C99" w:rsidRPr="001B3B34">
        <w:rPr>
          <w:rFonts w:ascii="Lato" w:hAnsi="Lato"/>
          <w:b/>
          <w:u w:val="single"/>
        </w:rPr>
        <w:t>DISCL</w:t>
      </w:r>
      <w:r w:rsidR="00411157" w:rsidRPr="001B3B34">
        <w:rPr>
          <w:rFonts w:ascii="Lato" w:hAnsi="Lato"/>
          <w:b/>
          <w:u w:val="single"/>
        </w:rPr>
        <w:t>OSURE REGAR</w:t>
      </w:r>
      <w:r w:rsidR="00D7288A">
        <w:rPr>
          <w:rFonts w:ascii="Lato" w:hAnsi="Lato"/>
          <w:b/>
          <w:u w:val="single"/>
        </w:rPr>
        <w:t>D</w:t>
      </w:r>
      <w:r w:rsidR="00411157" w:rsidRPr="001B3B34">
        <w:rPr>
          <w:rFonts w:ascii="Lato" w:hAnsi="Lato"/>
          <w:b/>
          <w:u w:val="single"/>
        </w:rPr>
        <w:t>ING SEPARATE ACCOUNTS</w:t>
      </w:r>
      <w:r w:rsidR="00D7288A">
        <w:rPr>
          <w:rFonts w:ascii="Lato" w:hAnsi="Lato"/>
          <w:b/>
          <w:u w:val="single"/>
        </w:rPr>
        <w:t xml:space="preserve"> IN ACCORDANCE WITH CFTC REGULATION 1.44(H)(3)</w:t>
      </w:r>
    </w:p>
    <w:p w14:paraId="7E943BE0" w14:textId="38FC3395" w:rsidR="007811B6" w:rsidRDefault="007811B6" w:rsidP="00D055A2">
      <w:pPr>
        <w:pStyle w:val="BodyTextSingle"/>
        <w:tabs>
          <w:tab w:val="left" w:pos="1170"/>
        </w:tabs>
        <w:spacing w:after="200"/>
        <w:rPr>
          <w:rFonts w:ascii="Lato" w:hAnsi="Lato"/>
        </w:rPr>
      </w:pPr>
      <w:r>
        <w:rPr>
          <w:rFonts w:ascii="Lato" w:hAnsi="Lato"/>
        </w:rPr>
        <w:t>Under CFTC Regulation 1.44(d), a futures commission merchant (“</w:t>
      </w:r>
      <w:r w:rsidRPr="007811B6">
        <w:rPr>
          <w:rFonts w:ascii="Lato" w:hAnsi="Lato"/>
          <w:b/>
          <w:bCs/>
        </w:rPr>
        <w:t>FCM</w:t>
      </w:r>
      <w:r>
        <w:rPr>
          <w:rFonts w:ascii="Lato" w:hAnsi="Lato"/>
        </w:rPr>
        <w:t xml:space="preserve">”) may elect (upon customer’s instruction) to treat the separate accounts of a customer as accounts of separate entities for purposes of margining such accounts in accordance with applicable CFTC Regulations and exchange rules. [NAME OF FCM] has made the election to implement separate account margining in accordance with Regulation 1.44(d).  </w:t>
      </w:r>
    </w:p>
    <w:p w14:paraId="65668FF8" w14:textId="786FFD48" w:rsidR="00521CBF" w:rsidRPr="001B3B34" w:rsidRDefault="00C84430" w:rsidP="00D055A2">
      <w:pPr>
        <w:pStyle w:val="BodyTextSingle"/>
        <w:tabs>
          <w:tab w:val="left" w:pos="1170"/>
        </w:tabs>
        <w:spacing w:after="200"/>
        <w:rPr>
          <w:rFonts w:ascii="Lato" w:hAnsi="Lato"/>
        </w:rPr>
      </w:pPr>
      <w:r w:rsidRPr="001B3B34">
        <w:rPr>
          <w:rFonts w:ascii="Lato" w:hAnsi="Lato"/>
        </w:rPr>
        <w:t>If</w:t>
      </w:r>
      <w:r w:rsidR="00A856B0" w:rsidRPr="001B3B34">
        <w:rPr>
          <w:rFonts w:ascii="Lato" w:hAnsi="Lato"/>
        </w:rPr>
        <w:t xml:space="preserve"> you </w:t>
      </w:r>
      <w:r w:rsidR="008A4A16" w:rsidRPr="001B3B34">
        <w:rPr>
          <w:rFonts w:ascii="Lato" w:hAnsi="Lato"/>
        </w:rPr>
        <w:t xml:space="preserve">establish </w:t>
      </w:r>
      <w:r w:rsidR="00D055A2" w:rsidRPr="001B3B34">
        <w:rPr>
          <w:rFonts w:ascii="Lato" w:hAnsi="Lato"/>
        </w:rPr>
        <w:t xml:space="preserve">or </w:t>
      </w:r>
      <w:r w:rsidR="00A856B0" w:rsidRPr="001B3B34">
        <w:rPr>
          <w:rFonts w:ascii="Lato" w:hAnsi="Lato"/>
        </w:rPr>
        <w:t xml:space="preserve">maintain </w:t>
      </w:r>
      <w:r w:rsidR="007811B6">
        <w:rPr>
          <w:rFonts w:ascii="Lato" w:hAnsi="Lato"/>
        </w:rPr>
        <w:t xml:space="preserve">a “separate account” (as defined under CFTC Regulation 1.44(a)) with </w:t>
      </w:r>
      <w:r w:rsidR="0058343A" w:rsidRPr="001B3B34">
        <w:rPr>
          <w:rFonts w:ascii="Lato" w:hAnsi="Lato"/>
        </w:rPr>
        <w:t>a</w:t>
      </w:r>
      <w:r w:rsidR="007811B6">
        <w:rPr>
          <w:rFonts w:ascii="Lato" w:hAnsi="Lato"/>
        </w:rPr>
        <w:t xml:space="preserve">n FCM </w:t>
      </w:r>
      <w:r w:rsidR="00A856B0" w:rsidRPr="001B3B34">
        <w:rPr>
          <w:rFonts w:ascii="Lato" w:hAnsi="Lato"/>
        </w:rPr>
        <w:t>for the purpose of trading (</w:t>
      </w:r>
      <w:r w:rsidR="007658EF" w:rsidRPr="001B3B34">
        <w:rPr>
          <w:rFonts w:ascii="Lato" w:hAnsi="Lato"/>
        </w:rPr>
        <w:t>a</w:t>
      </w:r>
      <w:r w:rsidR="00A856B0" w:rsidRPr="001B3B34">
        <w:rPr>
          <w:rFonts w:ascii="Lato" w:hAnsi="Lato"/>
        </w:rPr>
        <w:t>) futures and options on futures (collectively, “</w:t>
      </w:r>
      <w:r w:rsidR="00A856B0" w:rsidRPr="001B3B34">
        <w:rPr>
          <w:rFonts w:ascii="Lato" w:hAnsi="Lato"/>
          <w:b/>
        </w:rPr>
        <w:t>futures</w:t>
      </w:r>
      <w:r w:rsidR="00A856B0" w:rsidRPr="001B3B34">
        <w:rPr>
          <w:rFonts w:ascii="Lato" w:hAnsi="Lato"/>
        </w:rPr>
        <w:t xml:space="preserve">”) on either </w:t>
      </w:r>
      <w:r w:rsidR="00670D05" w:rsidRPr="001B3B34">
        <w:rPr>
          <w:rFonts w:ascii="Lato" w:hAnsi="Lato"/>
        </w:rPr>
        <w:t>U</w:t>
      </w:r>
      <w:r w:rsidR="009A3A10" w:rsidRPr="001B3B34">
        <w:rPr>
          <w:rFonts w:ascii="Lato" w:hAnsi="Lato"/>
        </w:rPr>
        <w:t>.</w:t>
      </w:r>
      <w:r w:rsidR="00670D05" w:rsidRPr="001B3B34">
        <w:rPr>
          <w:rFonts w:ascii="Lato" w:hAnsi="Lato"/>
        </w:rPr>
        <w:t>S</w:t>
      </w:r>
      <w:r w:rsidR="009A3A10" w:rsidRPr="001B3B34">
        <w:rPr>
          <w:rFonts w:ascii="Lato" w:hAnsi="Lato"/>
        </w:rPr>
        <w:t>.</w:t>
      </w:r>
      <w:r w:rsidR="00A856B0" w:rsidRPr="001B3B34">
        <w:rPr>
          <w:rFonts w:ascii="Lato" w:hAnsi="Lato"/>
        </w:rPr>
        <w:t xml:space="preserve"> or foreign futures exchanges</w:t>
      </w:r>
      <w:r w:rsidR="00670D05" w:rsidRPr="001B3B34">
        <w:rPr>
          <w:rFonts w:ascii="Lato" w:hAnsi="Lato"/>
        </w:rPr>
        <w:t>,</w:t>
      </w:r>
      <w:r w:rsidR="00A856B0" w:rsidRPr="001B3B34">
        <w:rPr>
          <w:rFonts w:ascii="Lato" w:hAnsi="Lato"/>
        </w:rPr>
        <w:t xml:space="preserve"> or</w:t>
      </w:r>
      <w:r w:rsidR="00795C99" w:rsidRPr="001B3B34">
        <w:rPr>
          <w:rFonts w:ascii="Lato" w:hAnsi="Lato"/>
        </w:rPr>
        <w:t xml:space="preserve"> </w:t>
      </w:r>
      <w:r w:rsidR="00A856B0" w:rsidRPr="001B3B34">
        <w:rPr>
          <w:rFonts w:ascii="Lato" w:hAnsi="Lato"/>
        </w:rPr>
        <w:t>(</w:t>
      </w:r>
      <w:r w:rsidR="007658EF" w:rsidRPr="001B3B34">
        <w:rPr>
          <w:rFonts w:ascii="Lato" w:hAnsi="Lato"/>
        </w:rPr>
        <w:t>b</w:t>
      </w:r>
      <w:r w:rsidR="00A856B0" w:rsidRPr="001B3B34">
        <w:rPr>
          <w:rFonts w:ascii="Lato" w:hAnsi="Lato"/>
        </w:rPr>
        <w:t>) cleared swaps</w:t>
      </w:r>
      <w:r w:rsidRPr="001B3B34">
        <w:rPr>
          <w:rFonts w:ascii="Lato" w:hAnsi="Lato"/>
        </w:rPr>
        <w:t xml:space="preserve">, </w:t>
      </w:r>
      <w:r w:rsidR="001901AC" w:rsidRPr="001B3B34">
        <w:rPr>
          <w:rFonts w:ascii="Lato" w:hAnsi="Lato"/>
        </w:rPr>
        <w:t>it is important that you read and understand the following disclosure</w:t>
      </w:r>
      <w:r w:rsidR="00795C99" w:rsidRPr="001B3B34">
        <w:rPr>
          <w:rFonts w:ascii="Lato" w:hAnsi="Lato"/>
        </w:rPr>
        <w:t xml:space="preserve">.   </w:t>
      </w:r>
      <w:r w:rsidR="0084619E">
        <w:rPr>
          <w:rFonts w:ascii="Lato" w:hAnsi="Lato"/>
        </w:rPr>
        <w:t xml:space="preserve">Customers typically establish separate accounts where </w:t>
      </w:r>
      <w:r w:rsidR="00A856B0" w:rsidRPr="001B3B34">
        <w:rPr>
          <w:rFonts w:ascii="Lato" w:hAnsi="Lato"/>
        </w:rPr>
        <w:t xml:space="preserve">accounts </w:t>
      </w:r>
      <w:r w:rsidR="0084619E">
        <w:rPr>
          <w:rFonts w:ascii="Lato" w:hAnsi="Lato"/>
        </w:rPr>
        <w:t>are</w:t>
      </w:r>
      <w:r w:rsidR="00A856B0" w:rsidRPr="001B3B34">
        <w:rPr>
          <w:rFonts w:ascii="Lato" w:hAnsi="Lato"/>
        </w:rPr>
        <w:t xml:space="preserve">: (i) </w:t>
      </w:r>
      <w:r w:rsidR="00670D05" w:rsidRPr="001B3B34">
        <w:rPr>
          <w:rFonts w:ascii="Lato" w:hAnsi="Lato"/>
        </w:rPr>
        <w:t>managed by</w:t>
      </w:r>
      <w:r w:rsidR="00A856B0" w:rsidRPr="001B3B34">
        <w:rPr>
          <w:rFonts w:ascii="Lato" w:hAnsi="Lato"/>
        </w:rPr>
        <w:t xml:space="preserve"> different asset management firms</w:t>
      </w:r>
      <w:r w:rsidR="00D97316" w:rsidRPr="001B3B34">
        <w:rPr>
          <w:rFonts w:ascii="Lato" w:hAnsi="Lato"/>
        </w:rPr>
        <w:t xml:space="preserve">, introducing brokers or </w:t>
      </w:r>
      <w:r w:rsidR="007E3E88" w:rsidRPr="001B3B34">
        <w:rPr>
          <w:rFonts w:ascii="Lato" w:hAnsi="Lato"/>
        </w:rPr>
        <w:t>associated persons</w:t>
      </w:r>
      <w:r w:rsidR="00A856B0" w:rsidRPr="001B3B34">
        <w:rPr>
          <w:rFonts w:ascii="Lato" w:hAnsi="Lato"/>
        </w:rPr>
        <w:t xml:space="preserve">; (ii) </w:t>
      </w:r>
      <w:r w:rsidR="00670D05" w:rsidRPr="001B3B34">
        <w:rPr>
          <w:rFonts w:ascii="Lato" w:hAnsi="Lato"/>
        </w:rPr>
        <w:t>managed as</w:t>
      </w:r>
      <w:r w:rsidR="00A856B0" w:rsidRPr="001B3B34">
        <w:rPr>
          <w:rFonts w:ascii="Lato" w:hAnsi="Lato"/>
        </w:rPr>
        <w:t xml:space="preserve"> separate investment portfolio</w:t>
      </w:r>
      <w:r w:rsidR="00670D05" w:rsidRPr="001B3B34">
        <w:rPr>
          <w:rFonts w:ascii="Lato" w:hAnsi="Lato"/>
        </w:rPr>
        <w:t>s</w:t>
      </w:r>
      <w:r w:rsidR="00A856B0" w:rsidRPr="001B3B34">
        <w:rPr>
          <w:rFonts w:ascii="Lato" w:hAnsi="Lato"/>
        </w:rPr>
        <w:t xml:space="preserve"> </w:t>
      </w:r>
      <w:r w:rsidR="00670D05" w:rsidRPr="001B3B34">
        <w:rPr>
          <w:rFonts w:ascii="Lato" w:hAnsi="Lato"/>
        </w:rPr>
        <w:t>by</w:t>
      </w:r>
      <w:r w:rsidR="00A856B0" w:rsidRPr="001B3B34">
        <w:rPr>
          <w:rFonts w:ascii="Lato" w:hAnsi="Lato"/>
        </w:rPr>
        <w:t xml:space="preserve"> the same asset management firm</w:t>
      </w:r>
      <w:r w:rsidR="00D97316" w:rsidRPr="001B3B34">
        <w:rPr>
          <w:rFonts w:ascii="Lato" w:hAnsi="Lato"/>
        </w:rPr>
        <w:t xml:space="preserve">, introducing broker or </w:t>
      </w:r>
      <w:r w:rsidR="007E3E88" w:rsidRPr="001B3B34">
        <w:rPr>
          <w:rFonts w:ascii="Lato" w:hAnsi="Lato"/>
        </w:rPr>
        <w:t>associated person</w:t>
      </w:r>
      <w:r w:rsidR="00A856B0" w:rsidRPr="001B3B34">
        <w:rPr>
          <w:rFonts w:ascii="Lato" w:hAnsi="Lato"/>
        </w:rPr>
        <w:t xml:space="preserve">; (iii) </w:t>
      </w:r>
      <w:r w:rsidR="00632D3B" w:rsidRPr="001B3B34">
        <w:rPr>
          <w:rFonts w:ascii="Lato" w:hAnsi="Lato"/>
        </w:rPr>
        <w:t xml:space="preserve">subject to liens in connection with operating loans that contractually obligate an FCM to treat the accounts separately; </w:t>
      </w:r>
      <w:r w:rsidR="00BD05A2">
        <w:rPr>
          <w:rFonts w:ascii="Lato" w:hAnsi="Lato"/>
        </w:rPr>
        <w:t xml:space="preserve">(iv) related or other jointly owned accounts of natural persons the owners of which wish to maintain as separate accounts; </w:t>
      </w:r>
      <w:r w:rsidR="00632D3B" w:rsidRPr="001B3B34">
        <w:rPr>
          <w:rFonts w:ascii="Lato" w:hAnsi="Lato"/>
        </w:rPr>
        <w:t xml:space="preserve">or (v) </w:t>
      </w:r>
      <w:r w:rsidR="0058343A" w:rsidRPr="001B3B34">
        <w:rPr>
          <w:rFonts w:ascii="Lato" w:hAnsi="Lato"/>
        </w:rPr>
        <w:t xml:space="preserve">otherwise </w:t>
      </w:r>
      <w:r w:rsidR="0084619E">
        <w:rPr>
          <w:rFonts w:ascii="Lato" w:hAnsi="Lato"/>
        </w:rPr>
        <w:t xml:space="preserve">as </w:t>
      </w:r>
      <w:r w:rsidR="00A856B0" w:rsidRPr="001B3B34">
        <w:rPr>
          <w:rFonts w:ascii="Lato" w:hAnsi="Lato"/>
        </w:rPr>
        <w:t>required for regulatory or appropriate business purposes</w:t>
      </w:r>
      <w:r w:rsidR="00795C99" w:rsidRPr="001B3B34">
        <w:rPr>
          <w:rFonts w:ascii="Lato" w:hAnsi="Lato"/>
        </w:rPr>
        <w:t>.</w:t>
      </w:r>
    </w:p>
    <w:p w14:paraId="65668FF9" w14:textId="77777777" w:rsidR="009A3A10" w:rsidRPr="001B3B34" w:rsidRDefault="009A3A10" w:rsidP="00D055A2">
      <w:pPr>
        <w:pStyle w:val="BodyTextSingle"/>
        <w:tabs>
          <w:tab w:val="left" w:pos="1170"/>
        </w:tabs>
        <w:spacing w:after="200"/>
        <w:rPr>
          <w:rFonts w:ascii="Lato" w:hAnsi="Lato"/>
        </w:rPr>
      </w:pPr>
      <w:r w:rsidRPr="001B3B34">
        <w:rPr>
          <w:rFonts w:ascii="Lato" w:hAnsi="Lato"/>
        </w:rPr>
        <w:lastRenderedPageBreak/>
        <w:t>You should be aware that:</w:t>
      </w:r>
    </w:p>
    <w:p w14:paraId="65668FFA" w14:textId="037E8F86" w:rsidR="00795C99" w:rsidRDefault="00B54D6D" w:rsidP="00D055A2">
      <w:pPr>
        <w:pStyle w:val="BodyTextSingle"/>
        <w:numPr>
          <w:ilvl w:val="0"/>
          <w:numId w:val="31"/>
        </w:numPr>
        <w:spacing w:after="200"/>
        <w:rPr>
          <w:rFonts w:ascii="Lato" w:hAnsi="Lato"/>
        </w:rPr>
      </w:pPr>
      <w:r w:rsidRPr="001B3B34">
        <w:rPr>
          <w:rFonts w:ascii="Lato" w:hAnsi="Lato"/>
        </w:rPr>
        <w:t>I</w:t>
      </w:r>
      <w:r w:rsidR="001901AC" w:rsidRPr="001B3B34">
        <w:rPr>
          <w:rFonts w:ascii="Lato" w:hAnsi="Lato"/>
        </w:rPr>
        <w:t>n the unlikely event of your FCM’s</w:t>
      </w:r>
      <w:r w:rsidR="009A3A10" w:rsidRPr="001B3B34">
        <w:rPr>
          <w:rFonts w:ascii="Lato" w:hAnsi="Lato"/>
        </w:rPr>
        <w:t xml:space="preserve"> bankruptcy, </w:t>
      </w:r>
      <w:r w:rsidR="00A02B41" w:rsidRPr="001B3B34">
        <w:rPr>
          <w:rFonts w:ascii="Lato" w:hAnsi="Lato"/>
        </w:rPr>
        <w:t>you will be treated no d</w:t>
      </w:r>
      <w:r w:rsidR="00654261" w:rsidRPr="001B3B34">
        <w:rPr>
          <w:rFonts w:ascii="Lato" w:hAnsi="Lato"/>
        </w:rPr>
        <w:t>ifferently from other customers</w:t>
      </w:r>
      <w:r w:rsidR="00A02B41" w:rsidRPr="001B3B34">
        <w:rPr>
          <w:rFonts w:ascii="Lato" w:hAnsi="Lato"/>
        </w:rPr>
        <w:t xml:space="preserve"> as a result of having maintained separate accounts with </w:t>
      </w:r>
      <w:r w:rsidR="00376E68" w:rsidRPr="001B3B34">
        <w:rPr>
          <w:rFonts w:ascii="Lato" w:hAnsi="Lato"/>
        </w:rPr>
        <w:t>the</w:t>
      </w:r>
      <w:r w:rsidR="001901AC" w:rsidRPr="001B3B34">
        <w:rPr>
          <w:rFonts w:ascii="Lato" w:hAnsi="Lato"/>
        </w:rPr>
        <w:t xml:space="preserve"> FCM</w:t>
      </w:r>
      <w:r w:rsidR="00A02B41" w:rsidRPr="001B3B34">
        <w:rPr>
          <w:rFonts w:ascii="Lato" w:hAnsi="Lato"/>
        </w:rPr>
        <w:t xml:space="preserve">.  </w:t>
      </w:r>
      <w:r w:rsidR="00997A95" w:rsidRPr="001B3B34">
        <w:rPr>
          <w:rFonts w:ascii="Lato" w:hAnsi="Lato"/>
        </w:rPr>
        <w:t xml:space="preserve">In particular, all separate accounts </w:t>
      </w:r>
      <w:r w:rsidR="00376E68" w:rsidRPr="001B3B34">
        <w:rPr>
          <w:rFonts w:ascii="Lato" w:hAnsi="Lato"/>
        </w:rPr>
        <w:t xml:space="preserve">maintained for you or on your behalf will be combined </w:t>
      </w:r>
      <w:r w:rsidR="00997A95" w:rsidRPr="001B3B34">
        <w:rPr>
          <w:rFonts w:ascii="Lato" w:hAnsi="Lato"/>
        </w:rPr>
        <w:t xml:space="preserve">in determining your rights and </w:t>
      </w:r>
      <w:r w:rsidR="00376E68" w:rsidRPr="001B3B34">
        <w:rPr>
          <w:rFonts w:ascii="Lato" w:hAnsi="Lato"/>
        </w:rPr>
        <w:t xml:space="preserve">obligations </w:t>
      </w:r>
      <w:r w:rsidR="00997A95" w:rsidRPr="001B3B34">
        <w:rPr>
          <w:rFonts w:ascii="Lato" w:hAnsi="Lato"/>
        </w:rPr>
        <w:t>under the applicable provisions of the U.S. Bankruptcy Code and Part 190 of the Commodity Futures Trading Commission’s Regulations</w:t>
      </w:r>
      <w:r w:rsidRPr="001B3B34">
        <w:rPr>
          <w:rFonts w:ascii="Lato" w:hAnsi="Lato"/>
        </w:rPr>
        <w:t>.</w:t>
      </w:r>
    </w:p>
    <w:p w14:paraId="25032ECA" w14:textId="31D1CF97" w:rsidR="00031617" w:rsidRPr="005306E9" w:rsidRDefault="00AC4B38" w:rsidP="00031617">
      <w:pPr>
        <w:pStyle w:val="BodyTextSingle"/>
        <w:jc w:val="center"/>
        <w:rPr>
          <w:rFonts w:ascii="Lato" w:hAnsi="Lato"/>
          <w:b/>
          <w:caps/>
          <w:u w:val="single"/>
        </w:rPr>
      </w:pPr>
      <w:r>
        <w:rPr>
          <w:rFonts w:ascii="Lato" w:hAnsi="Lato"/>
        </w:rPr>
        <w:br w:type="page"/>
      </w:r>
      <w:r w:rsidR="00031617" w:rsidRPr="005306E9">
        <w:rPr>
          <w:rFonts w:ascii="Lato" w:hAnsi="Lato"/>
          <w:b/>
          <w:caps/>
          <w:u w:val="single"/>
        </w:rPr>
        <w:lastRenderedPageBreak/>
        <w:t>Rule 1.55(</w:t>
      </w:r>
      <w:r w:rsidR="00D7288A">
        <w:rPr>
          <w:rFonts w:ascii="Lato" w:hAnsi="Lato"/>
          <w:b/>
          <w:caps/>
          <w:u w:val="single"/>
        </w:rPr>
        <w:t>i</w:t>
      </w:r>
      <w:r w:rsidR="00031617" w:rsidRPr="005306E9">
        <w:rPr>
          <w:rFonts w:ascii="Lato" w:hAnsi="Lato"/>
          <w:b/>
          <w:caps/>
          <w:u w:val="single"/>
        </w:rPr>
        <w:t>) Disclosure Statement Regarding Separate Accounts</w:t>
      </w:r>
      <w:r w:rsidR="00D7288A">
        <w:rPr>
          <w:rFonts w:ascii="Lato" w:hAnsi="Lato"/>
          <w:b/>
          <w:caps/>
          <w:u w:val="single"/>
        </w:rPr>
        <w:t xml:space="preserve"> in accordance with cftc 1.44(h)</w:t>
      </w:r>
    </w:p>
    <w:p w14:paraId="0626C5F1" w14:textId="77777777" w:rsidR="00031617" w:rsidRPr="007550C7" w:rsidRDefault="00031617" w:rsidP="00031617">
      <w:pPr>
        <w:pStyle w:val="BodyTextSingle"/>
        <w:rPr>
          <w:rFonts w:ascii="Lato" w:hAnsi="Lato"/>
          <w:i/>
        </w:rPr>
      </w:pPr>
      <w:r w:rsidRPr="002F312F">
        <w:rPr>
          <w:rFonts w:ascii="Lato" w:hAnsi="Lato"/>
          <w:i/>
        </w:rPr>
        <w:t>[</w:t>
      </w:r>
      <w:r>
        <w:rPr>
          <w:rFonts w:ascii="Lato" w:hAnsi="Lato"/>
          <w:i/>
        </w:rPr>
        <w:t>Consider</w:t>
      </w:r>
      <w:r w:rsidRPr="002F312F">
        <w:rPr>
          <w:rFonts w:ascii="Lato" w:hAnsi="Lato"/>
          <w:i/>
        </w:rPr>
        <w:t xml:space="preserve"> including </w:t>
      </w:r>
      <w:r>
        <w:rPr>
          <w:rFonts w:ascii="Lato" w:hAnsi="Lato"/>
          <w:i/>
        </w:rPr>
        <w:t xml:space="preserve">this insert </w:t>
      </w:r>
      <w:r w:rsidRPr="002F312F">
        <w:rPr>
          <w:rFonts w:ascii="Lato" w:hAnsi="Lato"/>
          <w:i/>
        </w:rPr>
        <w:t>in the section on the FCM’s business on behalf of its customers, including types of customers, markets traded, international businesses, and clearinghouses and carrying brokers used.]</w:t>
      </w:r>
    </w:p>
    <w:p w14:paraId="188457C4" w14:textId="3296D40B" w:rsidR="00031617" w:rsidRPr="002F312F" w:rsidRDefault="00D7288A" w:rsidP="00031617">
      <w:pPr>
        <w:pStyle w:val="BodyTextSingle"/>
        <w:ind w:left="432" w:right="432"/>
        <w:rPr>
          <w:rFonts w:ascii="Lato" w:hAnsi="Lato"/>
        </w:rPr>
      </w:pPr>
      <w:r w:rsidRPr="00D7288A">
        <w:rPr>
          <w:rFonts w:ascii="Lato" w:hAnsi="Lato"/>
        </w:rPr>
        <w:t>Under CFTC Regulation 1.44(d), a</w:t>
      </w:r>
      <w:r>
        <w:rPr>
          <w:rFonts w:ascii="Lato" w:hAnsi="Lato"/>
        </w:rPr>
        <w:t>n FCM</w:t>
      </w:r>
      <w:r w:rsidRPr="00D7288A">
        <w:rPr>
          <w:rFonts w:ascii="Lato" w:hAnsi="Lato"/>
        </w:rPr>
        <w:t xml:space="preserve"> may elect (upon customer’s instruction) to treat the separate accounts of a customer as accounts of separate entities for purposes of margining such accounts in accordance with applicable CFTC Regulations and exchange rules. [</w:t>
      </w:r>
      <w:r w:rsidR="003D0F6E">
        <w:rPr>
          <w:rFonts w:ascii="Lato" w:hAnsi="Lato"/>
        </w:rPr>
        <w:t xml:space="preserve">NAME OF </w:t>
      </w:r>
      <w:r w:rsidR="003D0F6E" w:rsidRPr="002F312F">
        <w:rPr>
          <w:rFonts w:ascii="Lato" w:hAnsi="Lato"/>
        </w:rPr>
        <w:t>FCM</w:t>
      </w:r>
      <w:r w:rsidRPr="00D7288A">
        <w:rPr>
          <w:rFonts w:ascii="Lato" w:hAnsi="Lato"/>
        </w:rPr>
        <w:t xml:space="preserve">] has made the election to implement separate account </w:t>
      </w:r>
      <w:proofErr w:type="gramStart"/>
      <w:r w:rsidRPr="00D7288A">
        <w:rPr>
          <w:rFonts w:ascii="Lato" w:hAnsi="Lato"/>
        </w:rPr>
        <w:t>margining</w:t>
      </w:r>
      <w:proofErr w:type="gramEnd"/>
      <w:r w:rsidRPr="00D7288A">
        <w:rPr>
          <w:rFonts w:ascii="Lato" w:hAnsi="Lato"/>
        </w:rPr>
        <w:t xml:space="preserve"> in accordance with Regulation 1.44(d).  </w:t>
      </w:r>
      <w:r w:rsidR="00031617" w:rsidRPr="002F312F">
        <w:rPr>
          <w:rFonts w:ascii="Lato" w:hAnsi="Lato"/>
        </w:rPr>
        <w:t xml:space="preserve">[FCM] permits certain customers to establish and maintain </w:t>
      </w:r>
      <w:r>
        <w:rPr>
          <w:rFonts w:ascii="Lato" w:hAnsi="Lato"/>
        </w:rPr>
        <w:t xml:space="preserve">such </w:t>
      </w:r>
      <w:r w:rsidR="00031617" w:rsidRPr="002F312F">
        <w:rPr>
          <w:rFonts w:ascii="Lato" w:hAnsi="Lato"/>
        </w:rPr>
        <w:t xml:space="preserve">separate accounts.  </w:t>
      </w:r>
      <w:r w:rsidR="0084619E" w:rsidRPr="0084619E">
        <w:rPr>
          <w:rFonts w:ascii="Lato" w:hAnsi="Lato"/>
        </w:rPr>
        <w:t xml:space="preserve">Customers typically establish separate accounts where accounts are: (i) managed by different asset management firms, introducing brokers or associated persons; (ii) managed as separate investment portfolios by the same asset management firm, introducing broker or associated person; (iii) subject to liens in connection with operating loans that contractually obligate an FCM to treat the accounts separately; </w:t>
      </w:r>
      <w:r w:rsidR="0025340B">
        <w:rPr>
          <w:rFonts w:ascii="Lato" w:hAnsi="Lato"/>
        </w:rPr>
        <w:t xml:space="preserve">(iv) related or other jointly owned accounts of natural persons the owners of which wish to maintain as separate accounts; </w:t>
      </w:r>
      <w:r w:rsidR="0025340B" w:rsidRPr="001B3B34">
        <w:rPr>
          <w:rFonts w:ascii="Lato" w:hAnsi="Lato"/>
        </w:rPr>
        <w:t xml:space="preserve">or (v) </w:t>
      </w:r>
      <w:r w:rsidR="0084619E" w:rsidRPr="0084619E">
        <w:rPr>
          <w:rFonts w:ascii="Lato" w:hAnsi="Lato"/>
        </w:rPr>
        <w:t>otherwise as required for regulatory or appropriate business purposes.</w:t>
      </w:r>
      <w:r w:rsidR="0084619E">
        <w:rPr>
          <w:rFonts w:ascii="Lato" w:hAnsi="Lato"/>
        </w:rPr>
        <w:t xml:space="preserve">  </w:t>
      </w:r>
      <w:r w:rsidR="00031617" w:rsidRPr="002F312F">
        <w:rPr>
          <w:rFonts w:ascii="Lato" w:hAnsi="Lato"/>
        </w:rPr>
        <w:t xml:space="preserve">Subject to the terms and conditions of </w:t>
      </w:r>
      <w:r w:rsidR="0084619E">
        <w:rPr>
          <w:rFonts w:ascii="Lato" w:hAnsi="Lato"/>
        </w:rPr>
        <w:t>CFTC Regulation 1.44</w:t>
      </w:r>
      <w:r w:rsidR="00031617" w:rsidRPr="002F312F">
        <w:rPr>
          <w:rFonts w:ascii="Lato" w:hAnsi="Lato"/>
        </w:rPr>
        <w:t xml:space="preserve">, [FCM] treats such separate accounts as accounts of separate entities. Among other things, [FCM] may calculate the margin requirements for each separate account independently from all other separate accounts of the same customer and may disburse excess funds from one separate account notwithstanding that another separate account is </w:t>
      </w:r>
      <w:proofErr w:type="spellStart"/>
      <w:r w:rsidR="00031617" w:rsidRPr="002F312F">
        <w:rPr>
          <w:rFonts w:ascii="Lato" w:hAnsi="Lato"/>
        </w:rPr>
        <w:t>undermargined</w:t>
      </w:r>
      <w:proofErr w:type="spellEnd"/>
      <w:r w:rsidR="00031617" w:rsidRPr="002F312F">
        <w:rPr>
          <w:rFonts w:ascii="Lato" w:hAnsi="Lato"/>
        </w:rPr>
        <w:t xml:space="preserve">.  </w:t>
      </w:r>
    </w:p>
    <w:p w14:paraId="5814678C" w14:textId="77777777" w:rsidR="0084619E" w:rsidRDefault="00031617" w:rsidP="00031617">
      <w:pPr>
        <w:pStyle w:val="BodyTextSingle"/>
        <w:ind w:left="432" w:right="432"/>
        <w:rPr>
          <w:rFonts w:ascii="Lato" w:hAnsi="Lato"/>
        </w:rPr>
      </w:pPr>
      <w:r w:rsidRPr="002F312F">
        <w:rPr>
          <w:rFonts w:ascii="Lato" w:hAnsi="Lato"/>
        </w:rPr>
        <w:t xml:space="preserve">Among other terms and conditions set out in CFTC </w:t>
      </w:r>
      <w:r w:rsidR="0084619E">
        <w:rPr>
          <w:rFonts w:ascii="Lato" w:hAnsi="Lato"/>
        </w:rPr>
        <w:t>Regulation 1.44</w:t>
      </w:r>
      <w:r w:rsidRPr="002F312F">
        <w:rPr>
          <w:rFonts w:ascii="Lato" w:hAnsi="Lato"/>
        </w:rPr>
        <w:t xml:space="preserve">, [FCM] is required to advise its customers </w:t>
      </w:r>
      <w:r w:rsidR="0084619E">
        <w:rPr>
          <w:rFonts w:ascii="Lato" w:hAnsi="Lato"/>
        </w:rPr>
        <w:t xml:space="preserve">for which it maintains separate accounts </w:t>
      </w:r>
      <w:r w:rsidRPr="002F312F">
        <w:rPr>
          <w:rFonts w:ascii="Lato" w:hAnsi="Lato"/>
        </w:rPr>
        <w:t>that</w:t>
      </w:r>
      <w:r w:rsidR="0084619E">
        <w:rPr>
          <w:rFonts w:ascii="Lato" w:hAnsi="Lato"/>
        </w:rPr>
        <w:t xml:space="preserve">: </w:t>
      </w:r>
    </w:p>
    <w:p w14:paraId="68F207A2" w14:textId="27D4CEBE" w:rsidR="00AF7DA2" w:rsidRDefault="00031617" w:rsidP="0084619E">
      <w:pPr>
        <w:pStyle w:val="BodyTextSingle"/>
        <w:numPr>
          <w:ilvl w:val="0"/>
          <w:numId w:val="31"/>
        </w:numPr>
        <w:ind w:right="432"/>
        <w:rPr>
          <w:rFonts w:ascii="Lato" w:hAnsi="Lato"/>
        </w:rPr>
      </w:pPr>
      <w:r w:rsidRPr="002F312F">
        <w:rPr>
          <w:rFonts w:ascii="Lato" w:hAnsi="Lato"/>
        </w:rPr>
        <w:t>in the unlikely event of [FCM’s] bankruptcy, all separate accounts</w:t>
      </w:r>
      <w:r w:rsidR="00AF7DA2">
        <w:rPr>
          <w:rFonts w:ascii="Lato" w:hAnsi="Lato"/>
        </w:rPr>
        <w:t xml:space="preserve"> of the customer in each account class (futures, foreign futures and cleared swaps) </w:t>
      </w:r>
      <w:r w:rsidRPr="002F312F">
        <w:rPr>
          <w:rFonts w:ascii="Lato" w:hAnsi="Lato"/>
        </w:rPr>
        <w:t>will be combined in determining such customer’s rights and obligations under the applicable provisions of the U.S. Bankruptcy Code and Part 190 of the Commodity Futures Trading Commission’s Regulations</w:t>
      </w:r>
      <w:r w:rsidR="00AF7DA2">
        <w:rPr>
          <w:rFonts w:ascii="Lato" w:hAnsi="Lato"/>
        </w:rPr>
        <w:t xml:space="preserve">; and </w:t>
      </w:r>
    </w:p>
    <w:p w14:paraId="2827A9EF" w14:textId="16155AE9" w:rsidR="00031617" w:rsidRPr="002F312F" w:rsidRDefault="00AF7DA2" w:rsidP="0084619E">
      <w:pPr>
        <w:pStyle w:val="BodyTextSingle"/>
        <w:numPr>
          <w:ilvl w:val="0"/>
          <w:numId w:val="31"/>
        </w:numPr>
        <w:ind w:right="432"/>
        <w:rPr>
          <w:rFonts w:ascii="Lato" w:hAnsi="Lato"/>
        </w:rPr>
      </w:pPr>
      <w:r>
        <w:rPr>
          <w:rFonts w:ascii="Lato" w:hAnsi="Lato"/>
        </w:rPr>
        <w:t xml:space="preserve">in the unlikely event that an FCM’s implementation of </w:t>
      </w:r>
      <w:r w:rsidRPr="00AF7DA2">
        <w:rPr>
          <w:rFonts w:ascii="Lato" w:hAnsi="Lato"/>
        </w:rPr>
        <w:t xml:space="preserve">separate account treatment for some customers were to contribute to a loss that exceeds the </w:t>
      </w:r>
      <w:r>
        <w:rPr>
          <w:rFonts w:ascii="Lato" w:hAnsi="Lato"/>
        </w:rPr>
        <w:t>FCM’s</w:t>
      </w:r>
      <w:r w:rsidRPr="00AF7DA2">
        <w:rPr>
          <w:rFonts w:ascii="Lato" w:hAnsi="Lato"/>
        </w:rPr>
        <w:t xml:space="preserve"> ability to cover, that loss may affect the segregated funds of all of the </w:t>
      </w:r>
      <w:r>
        <w:rPr>
          <w:rFonts w:ascii="Lato" w:hAnsi="Lato"/>
        </w:rPr>
        <w:t>FCM</w:t>
      </w:r>
      <w:r w:rsidRPr="00AF7DA2">
        <w:rPr>
          <w:rFonts w:ascii="Lato" w:hAnsi="Lato"/>
        </w:rPr>
        <w:t>’s customers in one or more account classes.</w:t>
      </w:r>
    </w:p>
    <w:p w14:paraId="2954C02D" w14:textId="7AB96752" w:rsidR="001B3B34" w:rsidRPr="001B3B34" w:rsidRDefault="001B3B34" w:rsidP="001B3B34">
      <w:pPr>
        <w:pStyle w:val="BodyTextSingle"/>
        <w:spacing w:after="200"/>
        <w:rPr>
          <w:rFonts w:ascii="Lato" w:hAnsi="Lato"/>
        </w:rPr>
      </w:pPr>
    </w:p>
    <w:sectPr w:rsidR="001B3B34" w:rsidRPr="001B3B34" w:rsidSect="000204C0">
      <w:headerReference w:type="default" r:id="rId11"/>
      <w:footerReference w:type="even" r:id="rId12"/>
      <w:footerReference w:type="default" r:id="rId13"/>
      <w:footerReference w:type="first" r:id="rId14"/>
      <w:type w:val="continuous"/>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6263CD" w14:textId="77777777" w:rsidR="00136CE8" w:rsidRDefault="00136CE8">
      <w:r>
        <w:separator/>
      </w:r>
    </w:p>
  </w:endnote>
  <w:endnote w:type="continuationSeparator" w:id="0">
    <w:p w14:paraId="7F0692B2" w14:textId="77777777" w:rsidR="00136CE8" w:rsidRDefault="00136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ato">
    <w:panose1 w:val="020F0502020204030203"/>
    <w:charset w:val="00"/>
    <w:family w:val="swiss"/>
    <w:pitch w:val="variable"/>
    <w:sig w:usb0="A00000AF" w:usb1="5000604B" w:usb2="00000000" w:usb3="00000000" w:csb0="00000093"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22D7F4" w14:textId="77777777" w:rsidR="00A73C81" w:rsidRPr="003C12A7" w:rsidRDefault="00A73C81" w:rsidP="00A73C81">
    <w:pPr>
      <w:pStyle w:val="Footer"/>
      <w:rPr>
        <w:rFonts w:ascii="Lato" w:hAnsi="Lato"/>
        <w:sz w:val="22"/>
        <w:szCs w:val="22"/>
      </w:rPr>
    </w:pPr>
    <w:r w:rsidRPr="00A73C81">
      <w:rPr>
        <w:rFonts w:ascii="Lato" w:hAnsi="Lato"/>
        <w:sz w:val="22"/>
        <w:szCs w:val="22"/>
        <w:highlight w:val="yellow"/>
      </w:rPr>
      <w:t>[Version: August 2019]</w:t>
    </w:r>
  </w:p>
  <w:p w14:paraId="5ED2B654" w14:textId="77777777" w:rsidR="00A73C81" w:rsidRDefault="00A73C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D6A08" w14:textId="162B8EA3" w:rsidR="00A73C81" w:rsidRDefault="002F7F9E">
    <w:pPr>
      <w:pStyle w:val="Footer"/>
    </w:pPr>
    <w:r>
      <w:rPr>
        <w:rFonts w:ascii="Lato" w:hAnsi="Lato"/>
        <w:sz w:val="22"/>
        <w:szCs w:val="22"/>
      </w:rPr>
      <w:t>March</w:t>
    </w:r>
    <w:r w:rsidR="00D7288A">
      <w:rPr>
        <w:rFonts w:ascii="Lato" w:hAnsi="Lato"/>
        <w:sz w:val="22"/>
        <w:szCs w:val="22"/>
      </w:rPr>
      <w:t xml:space="preserve"> 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0" w:name="_iDocIDField24b5cf6d-d1a1-4cb1-b624-3c73"/>
  <w:p w14:paraId="65669002" w14:textId="77777777" w:rsidR="003E3E3F" w:rsidRDefault="003E3E3F">
    <w:pPr>
      <w:pStyle w:val="DocID"/>
    </w:pPr>
    <w:r>
      <w:fldChar w:fldCharType="begin"/>
    </w:r>
    <w:r>
      <w:instrText xml:space="preserve">  DOCPROPERTY "CUS_DocIDChunk0" </w:instrText>
    </w:r>
    <w:r>
      <w:fldChar w:fldCharType="separate"/>
    </w:r>
    <w:r>
      <w:rPr>
        <w:noProof/>
      </w:rPr>
      <w:t>US_118817616v6_335184-00018 8/12/2019 11:55 AM</w:t>
    </w:r>
    <w:r>
      <w:fldChar w:fldCharType="end"/>
    </w:r>
    <w:bookmarkEnd w:id="0"/>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FBA0A" w14:textId="6B452663" w:rsidR="00B447B2" w:rsidRPr="00A73C81" w:rsidRDefault="00B447B2" w:rsidP="00A73C81">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1" w:name="_iDocIDField4fbe0789-f7b0-4ba4-a59a-5e7a"/>
  <w:p w14:paraId="65669005" w14:textId="77777777" w:rsidR="003E3E3F" w:rsidRDefault="003E3E3F">
    <w:pPr>
      <w:pStyle w:val="DocID"/>
    </w:pPr>
    <w:r>
      <w:fldChar w:fldCharType="begin"/>
    </w:r>
    <w:r>
      <w:instrText xml:space="preserve">  DOCPROPERTY "CUS_DocIDChunk0" </w:instrText>
    </w:r>
    <w:r>
      <w:fldChar w:fldCharType="separate"/>
    </w:r>
    <w:r>
      <w:rPr>
        <w:noProof/>
      </w:rPr>
      <w:t>US_118817616v6_335184-00018 8/12/2019 11:55 AM</w:t>
    </w:r>
    <w:r>
      <w:fldChar w:fldCharType="end"/>
    </w:r>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8F0415" w14:textId="77777777" w:rsidR="00136CE8" w:rsidRDefault="00136CE8">
      <w:r>
        <w:separator/>
      </w:r>
    </w:p>
  </w:footnote>
  <w:footnote w:type="continuationSeparator" w:id="0">
    <w:p w14:paraId="35A2244E" w14:textId="77777777" w:rsidR="00136CE8" w:rsidRDefault="00136CE8">
      <w:r>
        <w:continuationSeparator/>
      </w:r>
    </w:p>
  </w:footnote>
  <w:footnote w:id="1">
    <w:p w14:paraId="2A1EDE9C" w14:textId="6F6AA51B" w:rsidR="004E2AC6" w:rsidRDefault="004E2AC6" w:rsidP="004E2AC6">
      <w:pPr>
        <w:pStyle w:val="FootnoteText"/>
        <w:tabs>
          <w:tab w:val="left" w:pos="0"/>
        </w:tabs>
      </w:pPr>
      <w:r w:rsidRPr="00615C5A">
        <w:rPr>
          <w:rStyle w:val="FootnoteReference"/>
          <w:color w:val="00B0F0"/>
        </w:rPr>
        <w:footnoteRef/>
      </w:r>
      <w:r>
        <w:t xml:space="preserve"> </w:t>
      </w:r>
      <w:r w:rsidR="00463032">
        <w:rPr>
          <w:rFonts w:ascii="Lato" w:hAnsi="Lato"/>
          <w:sz w:val="22"/>
          <w:szCs w:val="22"/>
        </w:rPr>
        <w:t>These template disclosures are</w:t>
      </w:r>
      <w:r>
        <w:rPr>
          <w:rFonts w:ascii="Lato" w:hAnsi="Lato"/>
          <w:sz w:val="22"/>
          <w:szCs w:val="22"/>
        </w:rPr>
        <w:t xml:space="preserve"> intended to assist firms that are registered with the U.S. Commodity Futures Trading Commission (“CFTC”) as “Futures Commission Merchants” in </w:t>
      </w:r>
      <w:r w:rsidR="00296603">
        <w:rPr>
          <w:rFonts w:ascii="Lato" w:hAnsi="Lato"/>
          <w:sz w:val="22"/>
          <w:szCs w:val="22"/>
        </w:rPr>
        <w:t xml:space="preserve">complying with certain </w:t>
      </w:r>
      <w:r w:rsidR="00896E3C">
        <w:rPr>
          <w:rFonts w:ascii="Lato" w:hAnsi="Lato"/>
          <w:sz w:val="22"/>
          <w:szCs w:val="22"/>
        </w:rPr>
        <w:t>terms and conditions of</w:t>
      </w:r>
      <w:r w:rsidR="002E13C0">
        <w:rPr>
          <w:rFonts w:ascii="Lato" w:hAnsi="Lato"/>
          <w:sz w:val="22"/>
          <w:szCs w:val="22"/>
        </w:rPr>
        <w:t xml:space="preserve"> </w:t>
      </w:r>
      <w:r w:rsidR="00D7288A">
        <w:rPr>
          <w:rFonts w:ascii="Lato" w:hAnsi="Lato"/>
          <w:sz w:val="22"/>
          <w:szCs w:val="22"/>
        </w:rPr>
        <w:t>CFTC Regulation 1.44</w:t>
      </w:r>
      <w:r w:rsidR="00555D59" w:rsidRPr="00555D59">
        <w:rPr>
          <w:rFonts w:ascii="Lato" w:hAnsi="Lato"/>
          <w:sz w:val="22"/>
          <w:szCs w:val="22"/>
        </w:rPr>
        <w:t xml:space="preserve"> </w:t>
      </w:r>
      <w:r w:rsidR="002F79D4">
        <w:rPr>
          <w:rFonts w:ascii="Lato" w:hAnsi="Lato"/>
          <w:sz w:val="22"/>
          <w:szCs w:val="22"/>
        </w:rPr>
        <w:t xml:space="preserve">regarding </w:t>
      </w:r>
      <w:r w:rsidR="000B5C58">
        <w:rPr>
          <w:rFonts w:ascii="Lato" w:hAnsi="Lato"/>
          <w:sz w:val="22"/>
          <w:szCs w:val="22"/>
        </w:rPr>
        <w:t xml:space="preserve">the margin treatment of </w:t>
      </w:r>
      <w:r w:rsidR="002F79D4">
        <w:rPr>
          <w:rFonts w:ascii="Lato" w:hAnsi="Lato"/>
          <w:sz w:val="22"/>
          <w:szCs w:val="22"/>
        </w:rPr>
        <w:t xml:space="preserve">separate accounts of the same beneficial owner. </w:t>
      </w:r>
      <w:r w:rsidR="001B3C5D">
        <w:rPr>
          <w:rFonts w:ascii="Lato" w:hAnsi="Lato"/>
          <w:sz w:val="22"/>
          <w:szCs w:val="22"/>
        </w:rPr>
        <w:t>These disclosures</w:t>
      </w:r>
      <w:r>
        <w:rPr>
          <w:rFonts w:ascii="Lato" w:hAnsi="Lato"/>
          <w:sz w:val="22"/>
          <w:szCs w:val="22"/>
        </w:rPr>
        <w:t xml:space="preserve"> </w:t>
      </w:r>
      <w:r w:rsidR="001B3C5D">
        <w:rPr>
          <w:rFonts w:ascii="Lato" w:hAnsi="Lato"/>
          <w:sz w:val="22"/>
          <w:szCs w:val="22"/>
        </w:rPr>
        <w:t>are not</w:t>
      </w:r>
      <w:r>
        <w:rPr>
          <w:rFonts w:ascii="Lato" w:hAnsi="Lato"/>
          <w:sz w:val="22"/>
          <w:szCs w:val="22"/>
        </w:rPr>
        <w:t xml:space="preserve"> </w:t>
      </w:r>
      <w:r w:rsidRPr="007F4BF6">
        <w:rPr>
          <w:rFonts w:ascii="Lato" w:hAnsi="Lato"/>
          <w:sz w:val="22"/>
          <w:szCs w:val="22"/>
        </w:rPr>
        <w:t>intended</w:t>
      </w:r>
      <w:r w:rsidR="00A73C81">
        <w:rPr>
          <w:rFonts w:ascii="Lato" w:hAnsi="Lato"/>
          <w:sz w:val="22"/>
          <w:szCs w:val="22"/>
        </w:rPr>
        <w:t>, nor should they be interpreted,</w:t>
      </w:r>
      <w:r w:rsidRPr="007F4BF6">
        <w:rPr>
          <w:rFonts w:ascii="Lato" w:hAnsi="Lato"/>
          <w:sz w:val="22"/>
          <w:szCs w:val="22"/>
        </w:rPr>
        <w:t xml:space="preserve"> to constitute legal or regulatory advice.  FIA specifically disclaims any legal responsibility for any errors or omissions and disclaims any liability for </w:t>
      </w:r>
      <w:r>
        <w:rPr>
          <w:rFonts w:ascii="Lato" w:hAnsi="Lato"/>
          <w:sz w:val="22"/>
          <w:szCs w:val="22"/>
        </w:rPr>
        <w:t xml:space="preserve">any </w:t>
      </w:r>
      <w:r w:rsidRPr="007F4BF6">
        <w:rPr>
          <w:rFonts w:ascii="Lato" w:hAnsi="Lato"/>
          <w:sz w:val="22"/>
          <w:szCs w:val="22"/>
        </w:rPr>
        <w:t xml:space="preserve">losses or damages incurred through the use of </w:t>
      </w:r>
      <w:r w:rsidR="00A73C81">
        <w:rPr>
          <w:rFonts w:ascii="Lato" w:hAnsi="Lato"/>
          <w:sz w:val="22"/>
          <w:szCs w:val="22"/>
        </w:rPr>
        <w:t>these</w:t>
      </w:r>
      <w:r>
        <w:rPr>
          <w:rFonts w:ascii="Lato" w:hAnsi="Lato"/>
          <w:sz w:val="22"/>
          <w:szCs w:val="22"/>
        </w:rPr>
        <w:t xml:space="preserve"> disclosures</w:t>
      </w:r>
      <w:r w:rsidRPr="007F4BF6">
        <w:rPr>
          <w:rFonts w:ascii="Lato" w:hAnsi="Lato"/>
          <w:sz w:val="22"/>
          <w:szCs w:val="22"/>
        </w:rPr>
        <w:t xml:space="preserve">.  FIA undertakes no obligations to update </w:t>
      </w:r>
      <w:r w:rsidR="00A73C81">
        <w:rPr>
          <w:rFonts w:ascii="Lato" w:hAnsi="Lato"/>
          <w:sz w:val="22"/>
          <w:szCs w:val="22"/>
        </w:rPr>
        <w:t>these disclosures</w:t>
      </w:r>
      <w:r>
        <w:rPr>
          <w:rFonts w:ascii="Lato" w:hAnsi="Lato"/>
          <w:sz w:val="22"/>
          <w:szCs w:val="22"/>
        </w:rPr>
        <w:t xml:space="preserve"> </w:t>
      </w:r>
      <w:r w:rsidRPr="007F4BF6">
        <w:rPr>
          <w:rFonts w:ascii="Lato" w:hAnsi="Lato"/>
          <w:sz w:val="22"/>
          <w:szCs w:val="22"/>
        </w:rPr>
        <w:t>following the date of publication.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69000" w14:textId="08CB686B" w:rsidR="0008545D" w:rsidRDefault="0008545D" w:rsidP="00A62C85">
    <w:pPr>
      <w:pStyle w:val="Header"/>
      <w:jc w:val="right"/>
    </w:pPr>
  </w:p>
  <w:p w14:paraId="65669001" w14:textId="7CEE993D" w:rsidR="00A62C85" w:rsidRPr="008A4A16" w:rsidRDefault="00A62C85" w:rsidP="00A62C85">
    <w:pPr>
      <w:pStyle w:val="Header"/>
      <w:jc w:val="right"/>
      <w:rPr>
        <w:b/>
        <w:i/>
        <w:color w:val="FF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DE0BE5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A006B4E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5329D8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2B0E58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9349CB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94A90F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80C6905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CB65F0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A30D8A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6B761D3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270A74"/>
    <w:multiLevelType w:val="multilevel"/>
    <w:tmpl w:val="BBC60F90"/>
    <w:lvl w:ilvl="0">
      <w:start w:val="1"/>
      <w:numFmt w:val="upperRoman"/>
      <w:lvlText w:val="%1."/>
      <w:lvlJc w:val="left"/>
      <w:pPr>
        <w:tabs>
          <w:tab w:val="num" w:pos="720"/>
        </w:tabs>
        <w:ind w:left="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2880"/>
        </w:tabs>
        <w:ind w:left="21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240"/>
        </w:tabs>
        <w:ind w:left="288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15:restartNumberingAfterBreak="0">
    <w:nsid w:val="0DBA3DF3"/>
    <w:multiLevelType w:val="multilevel"/>
    <w:tmpl w:val="535EC376"/>
    <w:lvl w:ilvl="0">
      <w:start w:val="1"/>
      <w:numFmt w:val="upperRoman"/>
      <w:lvlText w:val="%1."/>
      <w:lvlJc w:val="left"/>
      <w:pPr>
        <w:tabs>
          <w:tab w:val="num" w:pos="720"/>
        </w:tabs>
        <w:ind w:left="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2880"/>
        </w:tabs>
        <w:ind w:left="21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600"/>
        </w:tabs>
        <w:ind w:left="288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2" w15:restartNumberingAfterBreak="0">
    <w:nsid w:val="22A969F0"/>
    <w:multiLevelType w:val="multilevel"/>
    <w:tmpl w:val="74D6BFBE"/>
    <w:lvl w:ilvl="0">
      <w:start w:val="1"/>
      <w:numFmt w:val="upperRoman"/>
      <w:lvlText w:val="%1."/>
      <w:lvlJc w:val="left"/>
      <w:pPr>
        <w:tabs>
          <w:tab w:val="num" w:pos="720"/>
        </w:tabs>
        <w:ind w:left="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2520"/>
        </w:tabs>
        <w:ind w:left="21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240"/>
        </w:tabs>
        <w:ind w:left="288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 w15:restartNumberingAfterBreak="0">
    <w:nsid w:val="26FE0F2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76874DE"/>
    <w:multiLevelType w:val="multilevel"/>
    <w:tmpl w:val="7FDA5BEE"/>
    <w:lvl w:ilvl="0">
      <w:start w:val="1"/>
      <w:numFmt w:val="upperRoman"/>
      <w:lvlText w:val="%1."/>
      <w:lvlJc w:val="left"/>
      <w:pPr>
        <w:tabs>
          <w:tab w:val="num" w:pos="720"/>
        </w:tabs>
        <w:ind w:left="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1080"/>
        </w:tabs>
        <w:ind w:left="7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800"/>
        </w:tabs>
        <w:ind w:left="14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2520"/>
        </w:tabs>
        <w:ind w:left="21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240"/>
        </w:tabs>
        <w:ind w:left="288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2C2B2F04"/>
    <w:multiLevelType w:val="multilevel"/>
    <w:tmpl w:val="EC24A01E"/>
    <w:lvl w:ilvl="0">
      <w:start w:val="1"/>
      <w:numFmt w:val="upperRoman"/>
      <w:lvlText w:val="%1."/>
      <w:lvlJc w:val="left"/>
      <w:pPr>
        <w:tabs>
          <w:tab w:val="num" w:pos="720"/>
        </w:tabs>
        <w:ind w:left="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2880"/>
        </w:tabs>
        <w:ind w:left="21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600"/>
        </w:tabs>
        <w:ind w:left="288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4320"/>
        </w:tabs>
        <w:ind w:left="360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36301A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758725C"/>
    <w:multiLevelType w:val="multilevel"/>
    <w:tmpl w:val="C042577E"/>
    <w:lvl w:ilvl="0">
      <w:start w:val="1"/>
      <w:numFmt w:val="upperRoman"/>
      <w:pStyle w:val="Heading1"/>
      <w:lvlText w:val="%1."/>
      <w:lvlJc w:val="left"/>
      <w:pPr>
        <w:tabs>
          <w:tab w:val="num" w:pos="720"/>
        </w:tabs>
        <w:ind w:left="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Heading2"/>
      <w:lvlText w:val="%2."/>
      <w:lvlJc w:val="left"/>
      <w:pPr>
        <w:tabs>
          <w:tab w:val="num" w:pos="1440"/>
        </w:tabs>
        <w:ind w:left="7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3."/>
      <w:lvlJc w:val="left"/>
      <w:pPr>
        <w:tabs>
          <w:tab w:val="num" w:pos="2160"/>
        </w:tabs>
        <w:ind w:left="14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Heading4"/>
      <w:lvlText w:val="%4)"/>
      <w:lvlJc w:val="left"/>
      <w:pPr>
        <w:tabs>
          <w:tab w:val="num" w:pos="2880"/>
        </w:tabs>
        <w:ind w:left="21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ing5"/>
      <w:lvlText w:val="(%5)"/>
      <w:lvlJc w:val="left"/>
      <w:pPr>
        <w:tabs>
          <w:tab w:val="num" w:pos="3600"/>
        </w:tabs>
        <w:ind w:left="288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pStyle w:val="Heading6"/>
      <w:lvlText w:val="(%6)"/>
      <w:lvlJc w:val="left"/>
      <w:pPr>
        <w:tabs>
          <w:tab w:val="num" w:pos="4320"/>
        </w:tabs>
        <w:ind w:left="360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pStyle w:val="Heading7"/>
      <w:lvlText w:val="(%7)"/>
      <w:lvlJc w:val="left"/>
      <w:pPr>
        <w:tabs>
          <w:tab w:val="num" w:pos="5040"/>
        </w:tabs>
        <w:ind w:left="43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pStyle w:val="Heading8"/>
      <w:lvlText w:val="(%8)"/>
      <w:lvlJc w:val="left"/>
      <w:pPr>
        <w:tabs>
          <w:tab w:val="num" w:pos="5760"/>
        </w:tabs>
        <w:ind w:left="5040" w:firstLine="0"/>
      </w:pPr>
      <w:rPr>
        <w:rFonts w:ascii="Times New Roman" w:hAnsi="Times New Roman" w:hint="default"/>
        <w:b w:val="0"/>
        <w:i w:val="0"/>
        <w:caps w:val="0"/>
        <w:strike w:val="0"/>
        <w:dstrike w:val="0"/>
        <w:vanish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pStyle w:val="Heading9"/>
      <w:lvlText w:val="(%9)"/>
      <w:lvlJc w:val="left"/>
      <w:pPr>
        <w:tabs>
          <w:tab w:val="num" w:pos="6480"/>
        </w:tabs>
        <w:ind w:left="57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 w15:restartNumberingAfterBreak="0">
    <w:nsid w:val="423D553B"/>
    <w:multiLevelType w:val="hybridMultilevel"/>
    <w:tmpl w:val="1FA8D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81508CF"/>
    <w:multiLevelType w:val="hybridMultilevel"/>
    <w:tmpl w:val="2F3C75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C3C3596"/>
    <w:multiLevelType w:val="multilevel"/>
    <w:tmpl w:val="95B83A4E"/>
    <w:lvl w:ilvl="0">
      <w:start w:val="1"/>
      <w:numFmt w:val="upperRoman"/>
      <w:lvlText w:val="%1."/>
      <w:lvlJc w:val="left"/>
      <w:pPr>
        <w:tabs>
          <w:tab w:val="num" w:pos="720"/>
        </w:tabs>
        <w:ind w:left="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2880"/>
        </w:tabs>
        <w:ind w:left="21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600"/>
        </w:tabs>
        <w:ind w:left="288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4320"/>
        </w:tabs>
        <w:ind w:left="360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1" w15:restartNumberingAfterBreak="0">
    <w:nsid w:val="699D6D24"/>
    <w:multiLevelType w:val="multilevel"/>
    <w:tmpl w:val="5E985CA6"/>
    <w:lvl w:ilvl="0">
      <w:start w:val="1"/>
      <w:numFmt w:val="upperRoman"/>
      <w:lvlText w:val="%1."/>
      <w:lvlJc w:val="left"/>
      <w:pPr>
        <w:tabs>
          <w:tab w:val="num" w:pos="720"/>
        </w:tabs>
        <w:ind w:left="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1800"/>
        </w:tabs>
        <w:ind w:left="14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2520"/>
        </w:tabs>
        <w:ind w:left="21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3240"/>
        </w:tabs>
        <w:ind w:left="288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 w15:restartNumberingAfterBreak="0">
    <w:nsid w:val="7AC2477D"/>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686294863">
    <w:abstractNumId w:val="17"/>
  </w:num>
  <w:num w:numId="2" w16cid:durableId="1247376763">
    <w:abstractNumId w:val="17"/>
  </w:num>
  <w:num w:numId="3" w16cid:durableId="1291090615">
    <w:abstractNumId w:val="17"/>
  </w:num>
  <w:num w:numId="4" w16cid:durableId="1018039620">
    <w:abstractNumId w:val="17"/>
  </w:num>
  <w:num w:numId="5" w16cid:durableId="1423339618">
    <w:abstractNumId w:val="17"/>
  </w:num>
  <w:num w:numId="6" w16cid:durableId="331644696">
    <w:abstractNumId w:val="17"/>
  </w:num>
  <w:num w:numId="7" w16cid:durableId="1429933350">
    <w:abstractNumId w:val="17"/>
  </w:num>
  <w:num w:numId="8" w16cid:durableId="483662867">
    <w:abstractNumId w:val="17"/>
  </w:num>
  <w:num w:numId="9" w16cid:durableId="399324781">
    <w:abstractNumId w:val="17"/>
  </w:num>
  <w:num w:numId="10" w16cid:durableId="50808267">
    <w:abstractNumId w:val="9"/>
  </w:num>
  <w:num w:numId="11" w16cid:durableId="840923915">
    <w:abstractNumId w:val="7"/>
  </w:num>
  <w:num w:numId="12" w16cid:durableId="346177775">
    <w:abstractNumId w:val="6"/>
  </w:num>
  <w:num w:numId="13" w16cid:durableId="286931696">
    <w:abstractNumId w:val="5"/>
  </w:num>
  <w:num w:numId="14" w16cid:durableId="110058977">
    <w:abstractNumId w:val="4"/>
  </w:num>
  <w:num w:numId="15" w16cid:durableId="920337438">
    <w:abstractNumId w:val="8"/>
  </w:num>
  <w:num w:numId="16" w16cid:durableId="241187960">
    <w:abstractNumId w:val="3"/>
  </w:num>
  <w:num w:numId="17" w16cid:durableId="627930197">
    <w:abstractNumId w:val="2"/>
  </w:num>
  <w:num w:numId="18" w16cid:durableId="1323661661">
    <w:abstractNumId w:val="1"/>
  </w:num>
  <w:num w:numId="19" w16cid:durableId="1256792172">
    <w:abstractNumId w:val="0"/>
  </w:num>
  <w:num w:numId="20" w16cid:durableId="5526402">
    <w:abstractNumId w:val="14"/>
  </w:num>
  <w:num w:numId="21" w16cid:durableId="426536959">
    <w:abstractNumId w:val="21"/>
  </w:num>
  <w:num w:numId="22" w16cid:durableId="2065592443">
    <w:abstractNumId w:val="12"/>
  </w:num>
  <w:num w:numId="23" w16cid:durableId="2108841043">
    <w:abstractNumId w:val="10"/>
  </w:num>
  <w:num w:numId="24" w16cid:durableId="1610160616">
    <w:abstractNumId w:val="11"/>
  </w:num>
  <w:num w:numId="25" w16cid:durableId="514806232">
    <w:abstractNumId w:val="20"/>
  </w:num>
  <w:num w:numId="26" w16cid:durableId="1537236485">
    <w:abstractNumId w:val="15"/>
  </w:num>
  <w:num w:numId="27" w16cid:durableId="464666675">
    <w:abstractNumId w:val="16"/>
  </w:num>
  <w:num w:numId="28" w16cid:durableId="1000081318">
    <w:abstractNumId w:val="13"/>
  </w:num>
  <w:num w:numId="29" w16cid:durableId="1464541626">
    <w:abstractNumId w:val="22"/>
  </w:num>
  <w:num w:numId="30" w16cid:durableId="378558219">
    <w:abstractNumId w:val="18"/>
  </w:num>
  <w:num w:numId="31" w16cid:durableId="2884148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hdrShapeDefaults>
    <o:shapedefaults v:ext="edit" spidmax="1228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1CBF"/>
    <w:rsid w:val="000042B0"/>
    <w:rsid w:val="000204C0"/>
    <w:rsid w:val="00021394"/>
    <w:rsid w:val="00031617"/>
    <w:rsid w:val="00042406"/>
    <w:rsid w:val="00061580"/>
    <w:rsid w:val="00067969"/>
    <w:rsid w:val="0008545D"/>
    <w:rsid w:val="000B3677"/>
    <w:rsid w:val="000B5C58"/>
    <w:rsid w:val="000B6D2A"/>
    <w:rsid w:val="00136CE8"/>
    <w:rsid w:val="001436BD"/>
    <w:rsid w:val="001511D1"/>
    <w:rsid w:val="0016281E"/>
    <w:rsid w:val="00164DAF"/>
    <w:rsid w:val="0016752F"/>
    <w:rsid w:val="001901AC"/>
    <w:rsid w:val="001B3B34"/>
    <w:rsid w:val="001B3C5D"/>
    <w:rsid w:val="001C1486"/>
    <w:rsid w:val="001D4A2C"/>
    <w:rsid w:val="00206435"/>
    <w:rsid w:val="002463CE"/>
    <w:rsid w:val="00247C4C"/>
    <w:rsid w:val="002531CE"/>
    <w:rsid w:val="0025340B"/>
    <w:rsid w:val="00276213"/>
    <w:rsid w:val="00296603"/>
    <w:rsid w:val="002B1A17"/>
    <w:rsid w:val="002E050F"/>
    <w:rsid w:val="002E13C0"/>
    <w:rsid w:val="002F79D4"/>
    <w:rsid w:val="002F7F9E"/>
    <w:rsid w:val="00312966"/>
    <w:rsid w:val="00315EDF"/>
    <w:rsid w:val="00322BB1"/>
    <w:rsid w:val="003370BE"/>
    <w:rsid w:val="00352E30"/>
    <w:rsid w:val="00362C58"/>
    <w:rsid w:val="0036783C"/>
    <w:rsid w:val="00376E68"/>
    <w:rsid w:val="0039228D"/>
    <w:rsid w:val="003A39C7"/>
    <w:rsid w:val="003C12A7"/>
    <w:rsid w:val="003C1EF6"/>
    <w:rsid w:val="003D0F6E"/>
    <w:rsid w:val="003E33DF"/>
    <w:rsid w:val="003E3E3F"/>
    <w:rsid w:val="00411157"/>
    <w:rsid w:val="004225FB"/>
    <w:rsid w:val="00442650"/>
    <w:rsid w:val="00442674"/>
    <w:rsid w:val="0045654C"/>
    <w:rsid w:val="00461F72"/>
    <w:rsid w:val="00463032"/>
    <w:rsid w:val="00467EEA"/>
    <w:rsid w:val="00473847"/>
    <w:rsid w:val="00482775"/>
    <w:rsid w:val="00493D8F"/>
    <w:rsid w:val="004A7701"/>
    <w:rsid w:val="004A7AA2"/>
    <w:rsid w:val="004C5182"/>
    <w:rsid w:val="004E2AC6"/>
    <w:rsid w:val="004E69BB"/>
    <w:rsid w:val="00501A06"/>
    <w:rsid w:val="00521CBF"/>
    <w:rsid w:val="00540232"/>
    <w:rsid w:val="00555D59"/>
    <w:rsid w:val="00565EA2"/>
    <w:rsid w:val="00566FEB"/>
    <w:rsid w:val="005767EF"/>
    <w:rsid w:val="0058343A"/>
    <w:rsid w:val="00584A91"/>
    <w:rsid w:val="005A2D30"/>
    <w:rsid w:val="005C23A3"/>
    <w:rsid w:val="005D6938"/>
    <w:rsid w:val="005F751C"/>
    <w:rsid w:val="00600813"/>
    <w:rsid w:val="006010C4"/>
    <w:rsid w:val="00607D9A"/>
    <w:rsid w:val="00615C5A"/>
    <w:rsid w:val="00617CFB"/>
    <w:rsid w:val="00632D3B"/>
    <w:rsid w:val="00636C01"/>
    <w:rsid w:val="00641283"/>
    <w:rsid w:val="00654261"/>
    <w:rsid w:val="006658BE"/>
    <w:rsid w:val="00670D05"/>
    <w:rsid w:val="006B7862"/>
    <w:rsid w:val="006D1118"/>
    <w:rsid w:val="006F2FF8"/>
    <w:rsid w:val="007122B0"/>
    <w:rsid w:val="00723855"/>
    <w:rsid w:val="00740B96"/>
    <w:rsid w:val="007423B1"/>
    <w:rsid w:val="007570C7"/>
    <w:rsid w:val="00763579"/>
    <w:rsid w:val="007658EF"/>
    <w:rsid w:val="007811B6"/>
    <w:rsid w:val="00781619"/>
    <w:rsid w:val="007924D6"/>
    <w:rsid w:val="0079436F"/>
    <w:rsid w:val="00795C99"/>
    <w:rsid w:val="00797303"/>
    <w:rsid w:val="007A1755"/>
    <w:rsid w:val="007E3E88"/>
    <w:rsid w:val="008050A2"/>
    <w:rsid w:val="008074A9"/>
    <w:rsid w:val="00844E91"/>
    <w:rsid w:val="0084619E"/>
    <w:rsid w:val="00882903"/>
    <w:rsid w:val="00896A56"/>
    <w:rsid w:val="00896E3C"/>
    <w:rsid w:val="008A2EF1"/>
    <w:rsid w:val="008A4A16"/>
    <w:rsid w:val="008A4E62"/>
    <w:rsid w:val="008B08B1"/>
    <w:rsid w:val="008E2BEB"/>
    <w:rsid w:val="009108F0"/>
    <w:rsid w:val="0092377C"/>
    <w:rsid w:val="00936850"/>
    <w:rsid w:val="00943C41"/>
    <w:rsid w:val="0094732D"/>
    <w:rsid w:val="009675A2"/>
    <w:rsid w:val="00974EDB"/>
    <w:rsid w:val="00997A95"/>
    <w:rsid w:val="009A3A10"/>
    <w:rsid w:val="009A5130"/>
    <w:rsid w:val="009C1A34"/>
    <w:rsid w:val="009C2C54"/>
    <w:rsid w:val="009E5E2D"/>
    <w:rsid w:val="009F3A00"/>
    <w:rsid w:val="00A02B41"/>
    <w:rsid w:val="00A12734"/>
    <w:rsid w:val="00A4289D"/>
    <w:rsid w:val="00A62C85"/>
    <w:rsid w:val="00A73C81"/>
    <w:rsid w:val="00A856B0"/>
    <w:rsid w:val="00AA75ED"/>
    <w:rsid w:val="00AC33CF"/>
    <w:rsid w:val="00AC4B38"/>
    <w:rsid w:val="00AF5314"/>
    <w:rsid w:val="00AF7DA2"/>
    <w:rsid w:val="00B447B2"/>
    <w:rsid w:val="00B54D6D"/>
    <w:rsid w:val="00B6554D"/>
    <w:rsid w:val="00B671B3"/>
    <w:rsid w:val="00BC7CF0"/>
    <w:rsid w:val="00BD05A2"/>
    <w:rsid w:val="00BF725B"/>
    <w:rsid w:val="00C406C1"/>
    <w:rsid w:val="00C701E8"/>
    <w:rsid w:val="00C84430"/>
    <w:rsid w:val="00C9585D"/>
    <w:rsid w:val="00CA2536"/>
    <w:rsid w:val="00CA2694"/>
    <w:rsid w:val="00CA653E"/>
    <w:rsid w:val="00CC3C26"/>
    <w:rsid w:val="00D055A2"/>
    <w:rsid w:val="00D06756"/>
    <w:rsid w:val="00D40803"/>
    <w:rsid w:val="00D7288A"/>
    <w:rsid w:val="00D750EB"/>
    <w:rsid w:val="00D772A8"/>
    <w:rsid w:val="00D81128"/>
    <w:rsid w:val="00D870A8"/>
    <w:rsid w:val="00D97316"/>
    <w:rsid w:val="00DB117B"/>
    <w:rsid w:val="00DE0E5B"/>
    <w:rsid w:val="00DE6DB0"/>
    <w:rsid w:val="00E15496"/>
    <w:rsid w:val="00E30AB9"/>
    <w:rsid w:val="00E85692"/>
    <w:rsid w:val="00EA2080"/>
    <w:rsid w:val="00EA45DB"/>
    <w:rsid w:val="00EB16FE"/>
    <w:rsid w:val="00EB6428"/>
    <w:rsid w:val="00EE1640"/>
    <w:rsid w:val="00F125FD"/>
    <w:rsid w:val="00F9289E"/>
    <w:rsid w:val="00FC2EC6"/>
    <w:rsid w:val="00FC4AEC"/>
    <w:rsid w:val="00FC5D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5668FF6"/>
  <w15:docId w15:val="{BAE0AF76-D94A-4994-AF1A-ABEFF9088A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after="240"/>
        <w:jc w:val="both"/>
      </w:pPr>
    </w:pPrDefault>
  </w:docDefaults>
  <w:latentStyles w:defLockedState="0" w:defUIPriority="1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8" w:qFormat="1"/>
    <w:lsdException w:name="Closing" w:semiHidden="1" w:unhideWhenUsed="1"/>
    <w:lsdException w:name="Signature" w:semiHidden="1" w:uiPriority="0" w:unhideWhenUsed="1"/>
    <w:lsdException w:name="Default Paragraph Font" w:semiHidden="1" w:uiPriority="0"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1" w:qFormat="1"/>
    <w:lsdException w:name="Emphasis" w:uiPriority="1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0"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0"/>
    <w:lsdException w:name="Table Theme" w:semiHidden="1" w:uiPriority="0" w:unhideWhenUsed="1"/>
    <w:lsdException w:name="Placeholder Text" w:semiHidden="1" w:uiPriority="99"/>
    <w:lsdException w:name="No Spacing" w:uiPriority="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7"/>
    <w:qFormat/>
    <w:rsid w:val="008A4E62"/>
    <w:pPr>
      <w:spacing w:after="0"/>
    </w:pPr>
  </w:style>
  <w:style w:type="paragraph" w:styleId="Heading1">
    <w:name w:val="heading 1"/>
    <w:aliases w:val="h1"/>
    <w:basedOn w:val="Normal"/>
    <w:next w:val="Heading2"/>
    <w:uiPriority w:val="6"/>
    <w:qFormat/>
    <w:rsid w:val="00B671B3"/>
    <w:pPr>
      <w:keepNext/>
      <w:keepLines/>
      <w:widowControl w:val="0"/>
      <w:numPr>
        <w:numId w:val="1"/>
      </w:numPr>
      <w:spacing w:after="240"/>
      <w:outlineLvl w:val="0"/>
    </w:pPr>
  </w:style>
  <w:style w:type="paragraph" w:styleId="Heading2">
    <w:name w:val="heading 2"/>
    <w:aliases w:val="h2"/>
    <w:basedOn w:val="Normal"/>
    <w:uiPriority w:val="6"/>
    <w:qFormat/>
    <w:rsid w:val="00B671B3"/>
    <w:pPr>
      <w:numPr>
        <w:ilvl w:val="1"/>
        <w:numId w:val="1"/>
      </w:numPr>
      <w:spacing w:after="240"/>
      <w:outlineLvl w:val="1"/>
    </w:pPr>
  </w:style>
  <w:style w:type="paragraph" w:styleId="Heading3">
    <w:name w:val="heading 3"/>
    <w:aliases w:val="h3"/>
    <w:basedOn w:val="Normal"/>
    <w:uiPriority w:val="6"/>
    <w:qFormat/>
    <w:rsid w:val="00B671B3"/>
    <w:pPr>
      <w:numPr>
        <w:ilvl w:val="2"/>
        <w:numId w:val="1"/>
      </w:numPr>
      <w:spacing w:after="240"/>
      <w:outlineLvl w:val="2"/>
    </w:pPr>
  </w:style>
  <w:style w:type="paragraph" w:styleId="Heading4">
    <w:name w:val="heading 4"/>
    <w:aliases w:val="h4"/>
    <w:basedOn w:val="Normal"/>
    <w:uiPriority w:val="6"/>
    <w:qFormat/>
    <w:rsid w:val="00B671B3"/>
    <w:pPr>
      <w:numPr>
        <w:ilvl w:val="3"/>
        <w:numId w:val="1"/>
      </w:numPr>
      <w:spacing w:after="240"/>
      <w:outlineLvl w:val="3"/>
    </w:pPr>
    <w:rPr>
      <w:snapToGrid w:val="0"/>
    </w:rPr>
  </w:style>
  <w:style w:type="paragraph" w:styleId="Heading5">
    <w:name w:val="heading 5"/>
    <w:aliases w:val="h5"/>
    <w:basedOn w:val="Normal"/>
    <w:uiPriority w:val="6"/>
    <w:qFormat/>
    <w:rsid w:val="00B671B3"/>
    <w:pPr>
      <w:numPr>
        <w:ilvl w:val="4"/>
        <w:numId w:val="1"/>
      </w:numPr>
      <w:spacing w:after="240"/>
      <w:outlineLvl w:val="4"/>
    </w:pPr>
  </w:style>
  <w:style w:type="paragraph" w:styleId="Heading6">
    <w:name w:val="heading 6"/>
    <w:aliases w:val="h6"/>
    <w:basedOn w:val="Normal"/>
    <w:uiPriority w:val="6"/>
    <w:qFormat/>
    <w:rsid w:val="00B671B3"/>
    <w:pPr>
      <w:numPr>
        <w:ilvl w:val="5"/>
        <w:numId w:val="1"/>
      </w:numPr>
      <w:spacing w:after="240"/>
      <w:outlineLvl w:val="5"/>
    </w:pPr>
  </w:style>
  <w:style w:type="paragraph" w:styleId="Heading7">
    <w:name w:val="heading 7"/>
    <w:aliases w:val="h7"/>
    <w:basedOn w:val="Normal"/>
    <w:uiPriority w:val="6"/>
    <w:qFormat/>
    <w:rsid w:val="00B671B3"/>
    <w:pPr>
      <w:numPr>
        <w:ilvl w:val="6"/>
        <w:numId w:val="1"/>
      </w:numPr>
      <w:spacing w:after="240"/>
      <w:outlineLvl w:val="6"/>
    </w:pPr>
  </w:style>
  <w:style w:type="paragraph" w:styleId="Heading8">
    <w:name w:val="heading 8"/>
    <w:aliases w:val="h8"/>
    <w:basedOn w:val="Normal"/>
    <w:uiPriority w:val="6"/>
    <w:qFormat/>
    <w:rsid w:val="00B671B3"/>
    <w:pPr>
      <w:numPr>
        <w:ilvl w:val="7"/>
        <w:numId w:val="1"/>
      </w:numPr>
      <w:spacing w:after="240"/>
      <w:outlineLvl w:val="7"/>
    </w:pPr>
    <w:rPr>
      <w:snapToGrid w:val="0"/>
    </w:rPr>
  </w:style>
  <w:style w:type="paragraph" w:styleId="Heading9">
    <w:name w:val="heading 9"/>
    <w:aliases w:val="h9"/>
    <w:basedOn w:val="Normal"/>
    <w:uiPriority w:val="6"/>
    <w:qFormat/>
    <w:rsid w:val="00B671B3"/>
    <w:pPr>
      <w:numPr>
        <w:ilvl w:val="8"/>
        <w:numId w:val="1"/>
      </w:num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Double">
    <w:name w:val="Body Text_Double"/>
    <w:aliases w:val="Body DS"/>
    <w:basedOn w:val="Normal"/>
    <w:uiPriority w:val="2"/>
    <w:qFormat/>
    <w:rsid w:val="00BF725B"/>
    <w:pPr>
      <w:spacing w:line="480" w:lineRule="auto"/>
    </w:pPr>
  </w:style>
  <w:style w:type="paragraph" w:customStyle="1" w:styleId="BodyTextDoubleInd">
    <w:name w:val="Body Text_Double_Ind"/>
    <w:aliases w:val="Body DSI"/>
    <w:basedOn w:val="Normal"/>
    <w:uiPriority w:val="3"/>
    <w:qFormat/>
    <w:rsid w:val="00BF725B"/>
    <w:pPr>
      <w:spacing w:line="480" w:lineRule="auto"/>
      <w:ind w:firstLine="720"/>
    </w:pPr>
  </w:style>
  <w:style w:type="paragraph" w:customStyle="1" w:styleId="BodyTextSingle">
    <w:name w:val="Body Text_Single"/>
    <w:aliases w:val="Body SS"/>
    <w:basedOn w:val="Normal"/>
    <w:link w:val="BodyTextSingleChar"/>
    <w:qFormat/>
    <w:rsid w:val="00DE0E5B"/>
    <w:pPr>
      <w:spacing w:after="240"/>
    </w:pPr>
  </w:style>
  <w:style w:type="paragraph" w:customStyle="1" w:styleId="BodyTextSingleInd">
    <w:name w:val="Body Text_Single_Ind"/>
    <w:aliases w:val="Body SSI"/>
    <w:basedOn w:val="Normal"/>
    <w:uiPriority w:val="1"/>
    <w:qFormat/>
    <w:rsid w:val="00DE0E5B"/>
    <w:pPr>
      <w:spacing w:after="240"/>
      <w:ind w:firstLine="720"/>
    </w:pPr>
  </w:style>
  <w:style w:type="paragraph" w:customStyle="1" w:styleId="FN14">
    <w:name w:val="FN14"/>
    <w:aliases w:val="f4"/>
    <w:basedOn w:val="Normal"/>
    <w:uiPriority w:val="19"/>
    <w:semiHidden/>
    <w:unhideWhenUsed/>
    <w:rsid w:val="003370BE"/>
    <w:pPr>
      <w:spacing w:after="120"/>
      <w:ind w:left="720" w:hanging="720"/>
    </w:pPr>
    <w:rPr>
      <w:sz w:val="28"/>
    </w:rPr>
  </w:style>
  <w:style w:type="paragraph" w:styleId="Footer">
    <w:name w:val="footer"/>
    <w:basedOn w:val="Normal"/>
    <w:uiPriority w:val="19"/>
    <w:unhideWhenUsed/>
    <w:rsid w:val="00493D8F"/>
    <w:pPr>
      <w:tabs>
        <w:tab w:val="center" w:pos="4320"/>
        <w:tab w:val="right" w:pos="8640"/>
      </w:tabs>
      <w:jc w:val="left"/>
    </w:pPr>
  </w:style>
  <w:style w:type="character" w:styleId="FootnoteReference">
    <w:name w:val="footnote reference"/>
    <w:uiPriority w:val="19"/>
    <w:rsid w:val="009675A2"/>
    <w:rPr>
      <w:rFonts w:ascii="Times New Roman" w:hAnsi="Times New Roman"/>
      <w:dstrike w:val="0"/>
      <w:color w:val="auto"/>
      <w:sz w:val="20"/>
      <w:vertAlign w:val="superscript"/>
    </w:rPr>
  </w:style>
  <w:style w:type="paragraph" w:styleId="FootnoteText">
    <w:name w:val="footnote text"/>
    <w:basedOn w:val="Normal"/>
    <w:link w:val="FootnoteTextChar"/>
    <w:uiPriority w:val="19"/>
    <w:rsid w:val="008A4E62"/>
    <w:pPr>
      <w:spacing w:after="120"/>
    </w:pPr>
    <w:rPr>
      <w:sz w:val="20"/>
    </w:rPr>
  </w:style>
  <w:style w:type="paragraph" w:styleId="TOC2">
    <w:name w:val="toc 2"/>
    <w:basedOn w:val="Normal"/>
    <w:next w:val="Normal"/>
    <w:autoRedefine/>
    <w:uiPriority w:val="19"/>
    <w:semiHidden/>
    <w:rsid w:val="00501A06"/>
    <w:pPr>
      <w:ind w:left="240"/>
    </w:pPr>
  </w:style>
  <w:style w:type="paragraph" w:styleId="Signature">
    <w:name w:val="Signature"/>
    <w:aliases w:val="s1"/>
    <w:basedOn w:val="Normal"/>
    <w:uiPriority w:val="19"/>
    <w:rsid w:val="00493D8F"/>
    <w:pPr>
      <w:ind w:left="4320"/>
      <w:jc w:val="left"/>
    </w:pPr>
  </w:style>
  <w:style w:type="paragraph" w:styleId="Header">
    <w:name w:val="header"/>
    <w:basedOn w:val="Normal"/>
    <w:uiPriority w:val="19"/>
    <w:unhideWhenUsed/>
    <w:rsid w:val="00206435"/>
    <w:pPr>
      <w:tabs>
        <w:tab w:val="center" w:pos="4320"/>
        <w:tab w:val="right" w:pos="8640"/>
      </w:tabs>
      <w:jc w:val="left"/>
    </w:pPr>
  </w:style>
  <w:style w:type="paragraph" w:customStyle="1" w:styleId="BlockIndent">
    <w:name w:val="BlockIndent"/>
    <w:aliases w:val="BI 1/2&quot;"/>
    <w:basedOn w:val="Normal"/>
    <w:uiPriority w:val="4"/>
    <w:qFormat/>
    <w:rsid w:val="00DE0E5B"/>
    <w:pPr>
      <w:spacing w:after="240"/>
      <w:ind w:left="720" w:right="720"/>
    </w:pPr>
  </w:style>
  <w:style w:type="paragraph" w:customStyle="1" w:styleId="BlockIndent2">
    <w:name w:val="BlockIndent2"/>
    <w:aliases w:val="BI 1&quot;"/>
    <w:basedOn w:val="Normal"/>
    <w:uiPriority w:val="5"/>
    <w:qFormat/>
    <w:rsid w:val="00DE0E5B"/>
    <w:pPr>
      <w:spacing w:after="240"/>
      <w:ind w:left="1440" w:right="1440"/>
    </w:pPr>
  </w:style>
  <w:style w:type="paragraph" w:styleId="TOC1">
    <w:name w:val="toc 1"/>
    <w:basedOn w:val="Normal"/>
    <w:next w:val="Normal"/>
    <w:autoRedefine/>
    <w:uiPriority w:val="19"/>
    <w:semiHidden/>
    <w:rsid w:val="00501A06"/>
  </w:style>
  <w:style w:type="paragraph" w:styleId="TOC3">
    <w:name w:val="toc 3"/>
    <w:basedOn w:val="Normal"/>
    <w:next w:val="Normal"/>
    <w:autoRedefine/>
    <w:uiPriority w:val="19"/>
    <w:semiHidden/>
    <w:rsid w:val="00501A06"/>
    <w:pPr>
      <w:ind w:left="480"/>
    </w:pPr>
  </w:style>
  <w:style w:type="paragraph" w:styleId="EnvelopeAddress">
    <w:name w:val="envelope address"/>
    <w:basedOn w:val="Normal"/>
    <w:uiPriority w:val="19"/>
    <w:rsid w:val="00164DAF"/>
    <w:pPr>
      <w:framePr w:w="7920" w:h="1980" w:hRule="exact" w:hSpace="180" w:wrap="auto" w:hAnchor="page" w:xAlign="center" w:yAlign="bottom"/>
      <w:ind w:left="2880"/>
    </w:pPr>
    <w:rPr>
      <w:rFonts w:cs="Arial"/>
    </w:rPr>
  </w:style>
  <w:style w:type="paragraph" w:styleId="EnvelopeReturn">
    <w:name w:val="envelope return"/>
    <w:basedOn w:val="Normal"/>
    <w:uiPriority w:val="19"/>
    <w:rsid w:val="00164DAF"/>
    <w:rPr>
      <w:rFonts w:cs="Arial"/>
      <w:sz w:val="20"/>
    </w:rPr>
  </w:style>
  <w:style w:type="paragraph" w:styleId="NoSpacing">
    <w:name w:val="No Spacing"/>
    <w:uiPriority w:val="8"/>
    <w:qFormat/>
    <w:rsid w:val="00FC4AEC"/>
    <w:pPr>
      <w:spacing w:after="0"/>
    </w:pPr>
  </w:style>
  <w:style w:type="paragraph" w:styleId="ListParagraph">
    <w:name w:val="List Paragraph"/>
    <w:basedOn w:val="Normal"/>
    <w:uiPriority w:val="34"/>
    <w:qFormat/>
    <w:rsid w:val="003A39C7"/>
    <w:pPr>
      <w:spacing w:after="240"/>
      <w:ind w:left="720"/>
    </w:pPr>
  </w:style>
  <w:style w:type="paragraph" w:styleId="Subtitle">
    <w:name w:val="Subtitle"/>
    <w:basedOn w:val="Normal"/>
    <w:next w:val="Normal"/>
    <w:link w:val="SubtitleChar"/>
    <w:uiPriority w:val="9"/>
    <w:qFormat/>
    <w:rsid w:val="00896A56"/>
    <w:pPr>
      <w:numPr>
        <w:ilvl w:val="1"/>
      </w:numPr>
      <w:spacing w:after="240"/>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9"/>
    <w:rsid w:val="00896A56"/>
    <w:rPr>
      <w:rFonts w:asciiTheme="majorHAnsi" w:eastAsiaTheme="majorEastAsia" w:hAnsiTheme="majorHAnsi" w:cstheme="majorBidi"/>
      <w:i/>
      <w:iCs/>
      <w:color w:val="4F81BD" w:themeColor="accent1"/>
      <w:spacing w:val="15"/>
    </w:rPr>
  </w:style>
  <w:style w:type="paragraph" w:customStyle="1" w:styleId="DocID">
    <w:name w:val="DocID"/>
    <w:basedOn w:val="Footer"/>
    <w:next w:val="Footer"/>
    <w:link w:val="DocIDChar"/>
    <w:rsid w:val="00EE1640"/>
    <w:pPr>
      <w:tabs>
        <w:tab w:val="clear" w:pos="4320"/>
        <w:tab w:val="clear" w:pos="8640"/>
      </w:tabs>
    </w:pPr>
    <w:rPr>
      <w:sz w:val="16"/>
      <w:szCs w:val="28"/>
    </w:rPr>
  </w:style>
  <w:style w:type="character" w:customStyle="1" w:styleId="BodyTextSingleChar">
    <w:name w:val="Body Text_Single Char"/>
    <w:aliases w:val="Body SS Char"/>
    <w:basedOn w:val="DefaultParagraphFont"/>
    <w:link w:val="BodyTextSingle"/>
    <w:rsid w:val="00EE1640"/>
  </w:style>
  <w:style w:type="character" w:customStyle="1" w:styleId="DocIDChar">
    <w:name w:val="DocID Char"/>
    <w:basedOn w:val="BodyTextSingleChar"/>
    <w:link w:val="DocID"/>
    <w:rsid w:val="00EE1640"/>
    <w:rPr>
      <w:sz w:val="16"/>
      <w:szCs w:val="28"/>
    </w:rPr>
  </w:style>
  <w:style w:type="paragraph" w:styleId="BalloonText">
    <w:name w:val="Balloon Text"/>
    <w:basedOn w:val="Normal"/>
    <w:link w:val="BalloonTextChar"/>
    <w:uiPriority w:val="19"/>
    <w:semiHidden/>
    <w:unhideWhenUsed/>
    <w:rsid w:val="000042B0"/>
    <w:rPr>
      <w:rFonts w:ascii="Segoe UI" w:hAnsi="Segoe UI" w:cs="Segoe UI"/>
      <w:sz w:val="18"/>
      <w:szCs w:val="18"/>
    </w:rPr>
  </w:style>
  <w:style w:type="character" w:customStyle="1" w:styleId="BalloonTextChar">
    <w:name w:val="Balloon Text Char"/>
    <w:basedOn w:val="DefaultParagraphFont"/>
    <w:link w:val="BalloonText"/>
    <w:uiPriority w:val="19"/>
    <w:semiHidden/>
    <w:rsid w:val="000042B0"/>
    <w:rPr>
      <w:rFonts w:ascii="Segoe UI" w:hAnsi="Segoe UI" w:cs="Segoe UI"/>
      <w:sz w:val="18"/>
      <w:szCs w:val="18"/>
    </w:rPr>
  </w:style>
  <w:style w:type="character" w:styleId="Hyperlink">
    <w:name w:val="Hyperlink"/>
    <w:basedOn w:val="DefaultParagraphFont"/>
    <w:uiPriority w:val="19"/>
    <w:unhideWhenUsed/>
    <w:rsid w:val="00031617"/>
    <w:rPr>
      <w:color w:val="0000FF" w:themeColor="hyperlink"/>
      <w:u w:val="single"/>
    </w:rPr>
  </w:style>
  <w:style w:type="character" w:customStyle="1" w:styleId="FootnoteTextChar">
    <w:name w:val="Footnote Text Char"/>
    <w:basedOn w:val="DefaultParagraphFont"/>
    <w:link w:val="FootnoteText"/>
    <w:uiPriority w:val="19"/>
    <w:rsid w:val="00473847"/>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8161568">
      <w:bodyDiv w:val="1"/>
      <w:marLeft w:val="0"/>
      <w:marRight w:val="0"/>
      <w:marTop w:val="0"/>
      <w:marBottom w:val="0"/>
      <w:divBdr>
        <w:top w:val="none" w:sz="0" w:space="0" w:color="auto"/>
        <w:left w:val="none" w:sz="0" w:space="0" w:color="auto"/>
        <w:bottom w:val="none" w:sz="0" w:space="0" w:color="auto"/>
        <w:right w:val="none" w:sz="0" w:space="0" w:color="auto"/>
      </w:divBdr>
    </w:div>
    <w:div w:id="876890083">
      <w:bodyDiv w:val="1"/>
      <w:marLeft w:val="0"/>
      <w:marRight w:val="0"/>
      <w:marTop w:val="0"/>
      <w:marBottom w:val="0"/>
      <w:divBdr>
        <w:top w:val="none" w:sz="0" w:space="0" w:color="auto"/>
        <w:left w:val="none" w:sz="0" w:space="0" w:color="auto"/>
        <w:bottom w:val="none" w:sz="0" w:space="0" w:color="auto"/>
        <w:right w:val="none" w:sz="0" w:space="0" w:color="auto"/>
      </w:divBdr>
    </w:div>
    <w:div w:id="954750691">
      <w:bodyDiv w:val="1"/>
      <w:marLeft w:val="0"/>
      <w:marRight w:val="0"/>
      <w:marTop w:val="0"/>
      <w:marBottom w:val="0"/>
      <w:divBdr>
        <w:top w:val="none" w:sz="0" w:space="0" w:color="auto"/>
        <w:left w:val="none" w:sz="0" w:space="0" w:color="auto"/>
        <w:bottom w:val="none" w:sz="0" w:space="0" w:color="auto"/>
        <w:right w:val="none" w:sz="0" w:space="0" w:color="auto"/>
      </w:divBdr>
    </w:div>
    <w:div w:id="1048650181">
      <w:bodyDiv w:val="1"/>
      <w:marLeft w:val="0"/>
      <w:marRight w:val="0"/>
      <w:marTop w:val="0"/>
      <w:marBottom w:val="0"/>
      <w:divBdr>
        <w:top w:val="none" w:sz="0" w:space="0" w:color="auto"/>
        <w:left w:val="none" w:sz="0" w:space="0" w:color="auto"/>
        <w:bottom w:val="none" w:sz="0" w:space="0" w:color="auto"/>
        <w:right w:val="none" w:sz="0" w:space="0" w:color="auto"/>
      </w:divBdr>
    </w:div>
    <w:div w:id="1131938833">
      <w:bodyDiv w:val="1"/>
      <w:marLeft w:val="0"/>
      <w:marRight w:val="0"/>
      <w:marTop w:val="0"/>
      <w:marBottom w:val="0"/>
      <w:divBdr>
        <w:top w:val="none" w:sz="0" w:space="0" w:color="auto"/>
        <w:left w:val="none" w:sz="0" w:space="0" w:color="auto"/>
        <w:bottom w:val="none" w:sz="0" w:space="0" w:color="auto"/>
        <w:right w:val="none" w:sz="0" w:space="0" w:color="auto"/>
      </w:divBdr>
    </w:div>
    <w:div w:id="1144391011">
      <w:bodyDiv w:val="1"/>
      <w:marLeft w:val="0"/>
      <w:marRight w:val="0"/>
      <w:marTop w:val="0"/>
      <w:marBottom w:val="0"/>
      <w:divBdr>
        <w:top w:val="none" w:sz="0" w:space="0" w:color="auto"/>
        <w:left w:val="none" w:sz="0" w:space="0" w:color="auto"/>
        <w:bottom w:val="none" w:sz="0" w:space="0" w:color="auto"/>
        <w:right w:val="none" w:sz="0" w:space="0" w:color="auto"/>
      </w:divBdr>
    </w:div>
    <w:div w:id="1346983780">
      <w:bodyDiv w:val="1"/>
      <w:marLeft w:val="0"/>
      <w:marRight w:val="0"/>
      <w:marTop w:val="0"/>
      <w:marBottom w:val="0"/>
      <w:divBdr>
        <w:top w:val="none" w:sz="0" w:space="0" w:color="auto"/>
        <w:left w:val="none" w:sz="0" w:space="0" w:color="auto"/>
        <w:bottom w:val="none" w:sz="0" w:space="0" w:color="auto"/>
        <w:right w:val="none" w:sz="0" w:space="0" w:color="auto"/>
      </w:divBdr>
    </w:div>
    <w:div w:id="1371373318">
      <w:bodyDiv w:val="1"/>
      <w:marLeft w:val="0"/>
      <w:marRight w:val="0"/>
      <w:marTop w:val="0"/>
      <w:marBottom w:val="0"/>
      <w:divBdr>
        <w:top w:val="none" w:sz="0" w:space="0" w:color="auto"/>
        <w:left w:val="none" w:sz="0" w:space="0" w:color="auto"/>
        <w:bottom w:val="none" w:sz="0" w:space="0" w:color="auto"/>
        <w:right w:val="none" w:sz="0" w:space="0" w:color="auto"/>
      </w:divBdr>
    </w:div>
    <w:div w:id="1456169828">
      <w:bodyDiv w:val="1"/>
      <w:marLeft w:val="0"/>
      <w:marRight w:val="0"/>
      <w:marTop w:val="0"/>
      <w:marBottom w:val="0"/>
      <w:divBdr>
        <w:top w:val="none" w:sz="0" w:space="0" w:color="auto"/>
        <w:left w:val="none" w:sz="0" w:space="0" w:color="auto"/>
        <w:bottom w:val="none" w:sz="0" w:space="0" w:color="auto"/>
        <w:right w:val="none" w:sz="0" w:space="0" w:color="auto"/>
      </w:divBdr>
    </w:div>
    <w:div w:id="1566187792">
      <w:bodyDiv w:val="1"/>
      <w:marLeft w:val="0"/>
      <w:marRight w:val="0"/>
      <w:marTop w:val="0"/>
      <w:marBottom w:val="0"/>
      <w:divBdr>
        <w:top w:val="none" w:sz="0" w:space="0" w:color="auto"/>
        <w:left w:val="none" w:sz="0" w:space="0" w:color="auto"/>
        <w:bottom w:val="none" w:sz="0" w:space="0" w:color="auto"/>
        <w:right w:val="none" w:sz="0" w:space="0" w:color="auto"/>
      </w:divBdr>
    </w:div>
    <w:div w:id="1738355933">
      <w:bodyDiv w:val="1"/>
      <w:marLeft w:val="0"/>
      <w:marRight w:val="0"/>
      <w:marTop w:val="0"/>
      <w:marBottom w:val="0"/>
      <w:divBdr>
        <w:top w:val="none" w:sz="0" w:space="0" w:color="auto"/>
        <w:left w:val="none" w:sz="0" w:space="0" w:color="auto"/>
        <w:bottom w:val="none" w:sz="0" w:space="0" w:color="auto"/>
        <w:right w:val="none" w:sz="0" w:space="0" w:color="auto"/>
      </w:divBdr>
    </w:div>
    <w:div w:id="1997416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0C58E3-421D-4800-9CC7-DC8CD349D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670</Words>
  <Characters>3889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Morris, Stephen R.</dc:creator>
  <cp:lastModifiedBy>Shonneice Jones</cp:lastModifiedBy>
  <cp:revision>2</cp:revision>
  <dcterms:created xsi:type="dcterms:W3CDTF">2025-03-21T14:32:00Z</dcterms:created>
  <dcterms:modified xsi:type="dcterms:W3CDTF">2025-03-21T14:32:00Z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_DocIDChunk0">
    <vt:lpwstr>US_118817616v6_335184-00018 8/12/2019 11:55 AM</vt:lpwstr>
  </property>
</Properties>
</file>