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91FDEB0" w14:textId="4BB2C4E3" w:rsidR="00A30FFA" w:rsidRDefault="00A30FFA" w:rsidP="00A30FFA">
      <w:pPr>
        <w:pStyle w:val="Level1"/>
        <w:numPr>
          <w:ilvl w:val="0"/>
          <w:numId w:val="0"/>
        </w:numPr>
        <w:ind w:left="680" w:hanging="680"/>
        <w:jc w:val="right"/>
      </w:pPr>
      <w:r>
        <w:t xml:space="preserve">Version: </w:t>
      </w:r>
      <w:r w:rsidR="004A2375">
        <w:t>1.0</w:t>
      </w:r>
    </w:p>
    <w:p w14:paraId="4B05B351" w14:textId="03261ED2" w:rsidR="00DD696D" w:rsidRPr="001A6624" w:rsidRDefault="00DD696D" w:rsidP="00DD696D">
      <w:pPr>
        <w:pStyle w:val="Body"/>
        <w:rPr>
          <w:i/>
          <w:iCs/>
          <w:sz w:val="18"/>
          <w:szCs w:val="20"/>
        </w:rPr>
      </w:pPr>
      <w:bookmarkStart w:id="0" w:name="bmkStart"/>
      <w:bookmarkEnd w:id="0"/>
      <w:r w:rsidRPr="001A6624">
        <w:rPr>
          <w:i/>
          <w:iCs/>
          <w:sz w:val="18"/>
          <w:szCs w:val="20"/>
        </w:rPr>
        <w:t>The FIA Client Clearing Agreement 202</w:t>
      </w:r>
      <w:r w:rsidR="00603A00">
        <w:rPr>
          <w:i/>
          <w:iCs/>
          <w:sz w:val="18"/>
          <w:szCs w:val="20"/>
        </w:rPr>
        <w:t>5</w:t>
      </w:r>
      <w:r w:rsidRPr="001A6624">
        <w:rPr>
          <w:i/>
          <w:iCs/>
          <w:sz w:val="18"/>
          <w:szCs w:val="20"/>
        </w:rPr>
        <w:t xml:space="preserve"> (Version 1.0) </w:t>
      </w:r>
      <w:r w:rsidR="00272180">
        <w:rPr>
          <w:i/>
          <w:iCs/>
          <w:sz w:val="18"/>
          <w:szCs w:val="20"/>
        </w:rPr>
        <w:t>EATM</w:t>
      </w:r>
      <w:r w:rsidR="00D95C65" w:rsidRPr="00D95C65">
        <w:rPr>
          <w:i/>
          <w:iCs/>
          <w:sz w:val="18"/>
          <w:szCs w:val="20"/>
        </w:rPr>
        <w:t xml:space="preserve"> </w:t>
      </w:r>
      <w:r w:rsidR="000B6E1B">
        <w:rPr>
          <w:i/>
          <w:iCs/>
          <w:sz w:val="18"/>
          <w:szCs w:val="20"/>
        </w:rPr>
        <w:t xml:space="preserve">(English </w:t>
      </w:r>
      <w:r w:rsidR="00B74FEC">
        <w:rPr>
          <w:i/>
          <w:iCs/>
          <w:sz w:val="18"/>
          <w:szCs w:val="20"/>
        </w:rPr>
        <w:t xml:space="preserve">Law </w:t>
      </w:r>
      <w:r w:rsidR="00E70C4B">
        <w:rPr>
          <w:i/>
          <w:iCs/>
          <w:sz w:val="18"/>
          <w:szCs w:val="20"/>
        </w:rPr>
        <w:t xml:space="preserve">Agreement and </w:t>
      </w:r>
      <w:r w:rsidR="00623DC0">
        <w:rPr>
          <w:i/>
          <w:iCs/>
          <w:sz w:val="18"/>
          <w:szCs w:val="20"/>
        </w:rPr>
        <w:t>Terms</w:t>
      </w:r>
      <w:r w:rsidR="000B6E1B">
        <w:rPr>
          <w:i/>
          <w:iCs/>
          <w:sz w:val="18"/>
          <w:szCs w:val="20"/>
        </w:rPr>
        <w:t xml:space="preserve">) </w:t>
      </w:r>
      <w:r w:rsidRPr="001A6624">
        <w:rPr>
          <w:i/>
          <w:iCs/>
          <w:sz w:val="18"/>
          <w:szCs w:val="20"/>
        </w:rPr>
        <w:t>is a template agreement provided for the benefit of FIA subscribing firms</w:t>
      </w:r>
      <w:r w:rsidR="00352B16" w:rsidRPr="001A6624">
        <w:rPr>
          <w:i/>
          <w:iCs/>
        </w:rPr>
        <w:t xml:space="preserve"> </w:t>
      </w:r>
      <w:r w:rsidRPr="001A6624">
        <w:rPr>
          <w:i/>
          <w:iCs/>
          <w:sz w:val="18"/>
          <w:szCs w:val="20"/>
        </w:rPr>
        <w:t>(the “</w:t>
      </w:r>
      <w:r w:rsidRPr="001A6624">
        <w:rPr>
          <w:b/>
          <w:bCs/>
          <w:i/>
          <w:iCs/>
          <w:sz w:val="18"/>
          <w:szCs w:val="20"/>
        </w:rPr>
        <w:t>Template</w:t>
      </w:r>
      <w:r w:rsidRPr="001A6624">
        <w:rPr>
          <w:i/>
          <w:iCs/>
          <w:sz w:val="18"/>
          <w:szCs w:val="20"/>
        </w:rPr>
        <w:t xml:space="preserve">”). Although care has been taken to assure that the content is accurate as of the date of publication, the </w:t>
      </w:r>
      <w:r w:rsidR="00D95C65">
        <w:rPr>
          <w:i/>
          <w:iCs/>
          <w:sz w:val="18"/>
          <w:szCs w:val="20"/>
        </w:rPr>
        <w:t>Template</w:t>
      </w:r>
      <w:r w:rsidRPr="001A6624">
        <w:rPr>
          <w:i/>
          <w:iCs/>
          <w:sz w:val="18"/>
          <w:szCs w:val="20"/>
        </w:rPr>
        <w:t xml:space="preserve"> is not intended to constitute legal or regulatory advice. FIA and </w:t>
      </w:r>
      <w:r w:rsidR="004F6EC5" w:rsidRPr="001A6624">
        <w:rPr>
          <w:i/>
          <w:iCs/>
          <w:sz w:val="18"/>
          <w:szCs w:val="20"/>
        </w:rPr>
        <w:t>Linklaters</w:t>
      </w:r>
      <w:r w:rsidRPr="001A6624">
        <w:rPr>
          <w:i/>
          <w:iCs/>
          <w:sz w:val="18"/>
          <w:szCs w:val="20"/>
        </w:rPr>
        <w:t xml:space="preserve"> LLP specifically disclaim any legal responsibility for any errors or omissions and disclaim any liability for losses or damages incurred through the use of the </w:t>
      </w:r>
      <w:r w:rsidR="0011222A">
        <w:rPr>
          <w:i/>
          <w:iCs/>
          <w:sz w:val="18"/>
          <w:szCs w:val="20"/>
        </w:rPr>
        <w:t>Template</w:t>
      </w:r>
      <w:r w:rsidR="0011222A" w:rsidRPr="001A6624">
        <w:rPr>
          <w:i/>
          <w:iCs/>
          <w:sz w:val="18"/>
          <w:szCs w:val="20"/>
        </w:rPr>
        <w:t xml:space="preserve"> </w:t>
      </w:r>
      <w:r w:rsidRPr="001A6624">
        <w:rPr>
          <w:i/>
          <w:iCs/>
          <w:sz w:val="18"/>
          <w:szCs w:val="20"/>
        </w:rPr>
        <w:t xml:space="preserve">or any of its contents. FIA and </w:t>
      </w:r>
      <w:r w:rsidR="004F6EC5" w:rsidRPr="001A6624">
        <w:rPr>
          <w:i/>
          <w:iCs/>
          <w:sz w:val="18"/>
          <w:szCs w:val="20"/>
        </w:rPr>
        <w:t>Linklaters</w:t>
      </w:r>
      <w:r w:rsidRPr="001A6624">
        <w:rPr>
          <w:i/>
          <w:iCs/>
          <w:sz w:val="18"/>
          <w:szCs w:val="20"/>
        </w:rPr>
        <w:t xml:space="preserve"> LLP undertake no obligation to update </w:t>
      </w:r>
      <w:r w:rsidR="0066463E">
        <w:rPr>
          <w:i/>
          <w:iCs/>
          <w:sz w:val="18"/>
          <w:szCs w:val="20"/>
        </w:rPr>
        <w:t xml:space="preserve">the </w:t>
      </w:r>
      <w:r w:rsidR="00D95C65">
        <w:rPr>
          <w:i/>
          <w:iCs/>
          <w:sz w:val="18"/>
          <w:szCs w:val="20"/>
        </w:rPr>
        <w:t>Template</w:t>
      </w:r>
      <w:r w:rsidR="00D95C65" w:rsidRPr="001A6624" w:rsidDel="00D95C65">
        <w:rPr>
          <w:i/>
          <w:iCs/>
          <w:sz w:val="18"/>
          <w:szCs w:val="20"/>
        </w:rPr>
        <w:t xml:space="preserve"> </w:t>
      </w:r>
      <w:r w:rsidRPr="001A6624">
        <w:rPr>
          <w:i/>
          <w:iCs/>
          <w:sz w:val="18"/>
          <w:szCs w:val="20"/>
        </w:rPr>
        <w:t xml:space="preserve">following the date of its publication. By publishing </w:t>
      </w:r>
      <w:r w:rsidR="00C8501D">
        <w:rPr>
          <w:i/>
          <w:iCs/>
          <w:sz w:val="18"/>
          <w:szCs w:val="20"/>
        </w:rPr>
        <w:t>the Template</w:t>
      </w:r>
      <w:r w:rsidRPr="001A6624">
        <w:rPr>
          <w:i/>
          <w:iCs/>
          <w:sz w:val="18"/>
          <w:szCs w:val="20"/>
        </w:rPr>
        <w:t xml:space="preserve">, FIA and </w:t>
      </w:r>
      <w:r w:rsidR="004F6EC5" w:rsidRPr="001A6624">
        <w:rPr>
          <w:i/>
          <w:iCs/>
          <w:sz w:val="18"/>
          <w:szCs w:val="20"/>
        </w:rPr>
        <w:t>Linklaters</w:t>
      </w:r>
      <w:r w:rsidRPr="001A6624">
        <w:rPr>
          <w:i/>
          <w:iCs/>
          <w:sz w:val="18"/>
          <w:szCs w:val="20"/>
        </w:rPr>
        <w:t xml:space="preserve"> LLP do not opine on whether FIA subscribing firms need the </w:t>
      </w:r>
      <w:r w:rsidR="00C8501D">
        <w:rPr>
          <w:i/>
          <w:iCs/>
          <w:sz w:val="18"/>
          <w:szCs w:val="20"/>
        </w:rPr>
        <w:t>Template</w:t>
      </w:r>
      <w:r w:rsidRPr="001A6624">
        <w:rPr>
          <w:i/>
          <w:iCs/>
          <w:sz w:val="18"/>
          <w:szCs w:val="20"/>
        </w:rPr>
        <w:t xml:space="preserve"> to meet a particular legal or regulatory requirement. The </w:t>
      </w:r>
      <w:r w:rsidR="00C8501D">
        <w:rPr>
          <w:i/>
          <w:iCs/>
          <w:sz w:val="18"/>
          <w:szCs w:val="20"/>
        </w:rPr>
        <w:t>Template</w:t>
      </w:r>
      <w:r w:rsidR="00C8501D" w:rsidRPr="001A6624" w:rsidDel="00C8501D">
        <w:rPr>
          <w:i/>
          <w:iCs/>
          <w:sz w:val="18"/>
          <w:szCs w:val="20"/>
        </w:rPr>
        <w:t xml:space="preserve"> </w:t>
      </w:r>
      <w:r w:rsidR="004F6EC5" w:rsidRPr="001A6624">
        <w:rPr>
          <w:i/>
          <w:iCs/>
          <w:sz w:val="18"/>
          <w:szCs w:val="20"/>
        </w:rPr>
        <w:t>is</w:t>
      </w:r>
      <w:r w:rsidRPr="001A6624">
        <w:rPr>
          <w:i/>
          <w:iCs/>
          <w:sz w:val="18"/>
          <w:szCs w:val="20"/>
        </w:rPr>
        <w:t xml:space="preserve"> merely a means of documenting a firm-client relationship, and firms are free to make changes to the Template should they so choose. The </w:t>
      </w:r>
      <w:r w:rsidR="00C8501D">
        <w:rPr>
          <w:i/>
          <w:iCs/>
          <w:sz w:val="18"/>
          <w:szCs w:val="20"/>
        </w:rPr>
        <w:t>Template</w:t>
      </w:r>
      <w:r w:rsidRPr="001A6624">
        <w:rPr>
          <w:i/>
          <w:iCs/>
          <w:sz w:val="18"/>
          <w:szCs w:val="20"/>
        </w:rPr>
        <w:t xml:space="preserve"> ha</w:t>
      </w:r>
      <w:r w:rsidR="00E15FAE" w:rsidRPr="001A6624">
        <w:rPr>
          <w:i/>
          <w:iCs/>
          <w:sz w:val="18"/>
          <w:szCs w:val="20"/>
        </w:rPr>
        <w:t>s</w:t>
      </w:r>
      <w:r w:rsidRPr="001A6624">
        <w:rPr>
          <w:i/>
          <w:iCs/>
          <w:sz w:val="18"/>
          <w:szCs w:val="20"/>
        </w:rPr>
        <w:t xml:space="preserve"> been prepared by </w:t>
      </w:r>
      <w:r w:rsidR="00E15FAE" w:rsidRPr="001A6624">
        <w:rPr>
          <w:i/>
          <w:iCs/>
          <w:sz w:val="18"/>
          <w:szCs w:val="20"/>
        </w:rPr>
        <w:t>Linklaters</w:t>
      </w:r>
      <w:r w:rsidRPr="001A6624">
        <w:rPr>
          <w:i/>
          <w:iCs/>
          <w:sz w:val="18"/>
          <w:szCs w:val="20"/>
        </w:rPr>
        <w:t xml:space="preserve"> LLP on the basis of instructions from FIA. </w:t>
      </w:r>
      <w:r w:rsidR="00E15FAE" w:rsidRPr="001A6624">
        <w:rPr>
          <w:i/>
          <w:iCs/>
          <w:sz w:val="18"/>
          <w:szCs w:val="20"/>
        </w:rPr>
        <w:t>Linklaters</w:t>
      </w:r>
      <w:r w:rsidRPr="001A6624">
        <w:rPr>
          <w:i/>
          <w:iCs/>
          <w:sz w:val="18"/>
          <w:szCs w:val="20"/>
        </w:rPr>
        <w:t xml:space="preserve"> LLP has not taken instructions from any FIA subscribing firm, and the </w:t>
      </w:r>
      <w:r w:rsidR="00C8501D">
        <w:rPr>
          <w:i/>
          <w:iCs/>
          <w:sz w:val="18"/>
          <w:szCs w:val="20"/>
        </w:rPr>
        <w:t>Template</w:t>
      </w:r>
      <w:r w:rsidRPr="001A6624">
        <w:rPr>
          <w:i/>
          <w:iCs/>
          <w:sz w:val="18"/>
          <w:szCs w:val="20"/>
        </w:rPr>
        <w:t xml:space="preserve"> does not take account of the specific circumstances of any FIA subscribing firm. The Template has not been prepared in connection with any specific transaction nor with regard to the specific use of the Template by any FIA subscribing firm. </w:t>
      </w:r>
      <w:r w:rsidR="008965CC" w:rsidRPr="001A6624">
        <w:rPr>
          <w:i/>
          <w:iCs/>
          <w:sz w:val="18"/>
          <w:szCs w:val="20"/>
        </w:rPr>
        <w:t>Linklaters</w:t>
      </w:r>
      <w:r w:rsidRPr="001A6624">
        <w:rPr>
          <w:i/>
          <w:iCs/>
          <w:sz w:val="18"/>
          <w:szCs w:val="20"/>
        </w:rPr>
        <w:t xml:space="preserve"> LLP does not have or assume any client relationship in connection with the </w:t>
      </w:r>
      <w:r w:rsidR="009603BC">
        <w:rPr>
          <w:i/>
          <w:iCs/>
          <w:sz w:val="18"/>
          <w:szCs w:val="20"/>
        </w:rPr>
        <w:t>Template</w:t>
      </w:r>
      <w:r w:rsidRPr="001A6624">
        <w:rPr>
          <w:i/>
          <w:iCs/>
          <w:sz w:val="18"/>
          <w:szCs w:val="20"/>
        </w:rPr>
        <w:t xml:space="preserve"> or assume any wider duty to any FIA subscribing firm or their affiliates. This disclaimer is governed by English law. </w:t>
      </w:r>
    </w:p>
    <w:p w14:paraId="51E67B8C" w14:textId="461EC664" w:rsidR="00DD696D" w:rsidRPr="001A6624" w:rsidRDefault="00DD696D" w:rsidP="00DD696D">
      <w:pPr>
        <w:pStyle w:val="Body"/>
        <w:rPr>
          <w:i/>
          <w:iCs/>
          <w:sz w:val="18"/>
          <w:szCs w:val="20"/>
        </w:rPr>
      </w:pPr>
      <w:r w:rsidRPr="001A6624">
        <w:rPr>
          <w:i/>
          <w:iCs/>
          <w:sz w:val="18"/>
          <w:szCs w:val="20"/>
        </w:rPr>
        <w:t xml:space="preserve">The </w:t>
      </w:r>
      <w:r w:rsidR="009603BC">
        <w:rPr>
          <w:i/>
          <w:iCs/>
          <w:sz w:val="18"/>
          <w:szCs w:val="20"/>
        </w:rPr>
        <w:t>Template</w:t>
      </w:r>
      <w:r w:rsidRPr="001A6624">
        <w:rPr>
          <w:i/>
          <w:iCs/>
          <w:sz w:val="18"/>
          <w:szCs w:val="20"/>
        </w:rPr>
        <w:t xml:space="preserve"> is protected by copyright. Subject to the inclusion of the copyright notice below, FIA hereby grants to a FIA-subscribing firm only a non-exclusive and worldwide licence, for the term of the copyright, to use, adapt and modify the Template in connection with the FIA subscribing firm’s business needs. All other uses are specifically prohibited, including, but not limited to, the sale of the Template. This licence is strictly subject to the FIA subscribing firm retaining the following copyright notice on each page of any document containing any part of the Template language: </w:t>
      </w:r>
    </w:p>
    <w:p w14:paraId="08EE0DC3" w14:textId="028555B7" w:rsidR="00A30FFA" w:rsidRPr="00A30FFA" w:rsidRDefault="00DD696D" w:rsidP="001A6624">
      <w:pPr>
        <w:pStyle w:val="Body2"/>
      </w:pPr>
      <w:r w:rsidRPr="001A6624">
        <w:rPr>
          <w:i/>
          <w:iCs/>
          <w:sz w:val="18"/>
          <w:szCs w:val="20"/>
        </w:rPr>
        <w:t xml:space="preserve">“The template on which this agreement is based is the FIA </w:t>
      </w:r>
      <w:r w:rsidR="008965CC" w:rsidRPr="001A6624">
        <w:rPr>
          <w:i/>
          <w:iCs/>
          <w:sz w:val="18"/>
          <w:szCs w:val="20"/>
        </w:rPr>
        <w:t>Client Clearing Agreement 202</w:t>
      </w:r>
      <w:r w:rsidR="00603A00">
        <w:rPr>
          <w:i/>
          <w:iCs/>
          <w:sz w:val="18"/>
          <w:szCs w:val="20"/>
        </w:rPr>
        <w:t>5</w:t>
      </w:r>
      <w:r w:rsidR="008965CC" w:rsidRPr="001A6624">
        <w:rPr>
          <w:i/>
          <w:iCs/>
          <w:sz w:val="18"/>
          <w:szCs w:val="20"/>
        </w:rPr>
        <w:t xml:space="preserve"> </w:t>
      </w:r>
      <w:r w:rsidRPr="001A6624">
        <w:rPr>
          <w:i/>
          <w:iCs/>
          <w:sz w:val="18"/>
          <w:szCs w:val="20"/>
        </w:rPr>
        <w:t xml:space="preserve">– Version </w:t>
      </w:r>
      <w:r w:rsidR="008965CC" w:rsidRPr="001A6624">
        <w:rPr>
          <w:i/>
          <w:iCs/>
          <w:sz w:val="18"/>
          <w:szCs w:val="20"/>
        </w:rPr>
        <w:t>1</w:t>
      </w:r>
      <w:r w:rsidRPr="001A6624">
        <w:rPr>
          <w:i/>
          <w:iCs/>
          <w:sz w:val="18"/>
          <w:szCs w:val="20"/>
        </w:rPr>
        <w:t>.0</w:t>
      </w:r>
      <w:r w:rsidR="00A748D3">
        <w:rPr>
          <w:i/>
          <w:iCs/>
          <w:sz w:val="18"/>
          <w:szCs w:val="20"/>
        </w:rPr>
        <w:t xml:space="preserve"> </w:t>
      </w:r>
      <w:r w:rsidR="00272180">
        <w:rPr>
          <w:i/>
          <w:iCs/>
          <w:sz w:val="18"/>
          <w:szCs w:val="20"/>
        </w:rPr>
        <w:t>EATM</w:t>
      </w:r>
      <w:r w:rsidR="00812F62">
        <w:rPr>
          <w:i/>
          <w:iCs/>
          <w:sz w:val="18"/>
          <w:szCs w:val="20"/>
        </w:rPr>
        <w:t xml:space="preserve"> (English </w:t>
      </w:r>
      <w:r w:rsidR="00B74FEC">
        <w:rPr>
          <w:i/>
          <w:iCs/>
          <w:sz w:val="18"/>
          <w:szCs w:val="20"/>
        </w:rPr>
        <w:t xml:space="preserve">Law </w:t>
      </w:r>
      <w:r w:rsidR="00E70C4B">
        <w:rPr>
          <w:i/>
          <w:iCs/>
          <w:sz w:val="18"/>
          <w:szCs w:val="20"/>
        </w:rPr>
        <w:t xml:space="preserve">Agreement and </w:t>
      </w:r>
      <w:r w:rsidR="00623DC0">
        <w:rPr>
          <w:i/>
          <w:iCs/>
          <w:sz w:val="18"/>
          <w:szCs w:val="20"/>
        </w:rPr>
        <w:t>Terms</w:t>
      </w:r>
      <w:r w:rsidR="00812F62">
        <w:rPr>
          <w:i/>
          <w:iCs/>
          <w:sz w:val="18"/>
          <w:szCs w:val="20"/>
        </w:rPr>
        <w:t>)</w:t>
      </w:r>
      <w:r w:rsidRPr="001A6624">
        <w:rPr>
          <w:i/>
          <w:iCs/>
          <w:sz w:val="18"/>
          <w:szCs w:val="20"/>
        </w:rPr>
        <w:t>. Copyright © 202</w:t>
      </w:r>
      <w:r w:rsidR="00603A00">
        <w:rPr>
          <w:i/>
          <w:iCs/>
          <w:sz w:val="18"/>
          <w:szCs w:val="20"/>
        </w:rPr>
        <w:t>5</w:t>
      </w:r>
      <w:r w:rsidRPr="001A6624">
        <w:rPr>
          <w:i/>
          <w:iCs/>
          <w:sz w:val="18"/>
          <w:szCs w:val="20"/>
        </w:rPr>
        <w:t xml:space="preserve"> FIA, Inc. FIA has not reviewed or endorsed any modifications that may have been made to the FIA </w:t>
      </w:r>
      <w:r w:rsidR="00FF2C6F" w:rsidRPr="001A6624">
        <w:rPr>
          <w:i/>
          <w:iCs/>
          <w:sz w:val="18"/>
          <w:szCs w:val="20"/>
        </w:rPr>
        <w:t>Client Clearing Agreement 202</w:t>
      </w:r>
      <w:r w:rsidR="00603A00">
        <w:rPr>
          <w:i/>
          <w:iCs/>
          <w:sz w:val="18"/>
          <w:szCs w:val="20"/>
        </w:rPr>
        <w:t>5</w:t>
      </w:r>
      <w:r w:rsidR="00FF2C6F" w:rsidRPr="001A6624">
        <w:rPr>
          <w:i/>
          <w:iCs/>
          <w:sz w:val="18"/>
          <w:szCs w:val="20"/>
        </w:rPr>
        <w:t xml:space="preserve"> </w:t>
      </w:r>
      <w:r w:rsidRPr="001A6624">
        <w:rPr>
          <w:i/>
          <w:iCs/>
          <w:sz w:val="18"/>
          <w:szCs w:val="20"/>
        </w:rPr>
        <w:t xml:space="preserve">– Version </w:t>
      </w:r>
      <w:r w:rsidR="00FF2C6F" w:rsidRPr="001A6624">
        <w:rPr>
          <w:i/>
          <w:iCs/>
          <w:sz w:val="18"/>
          <w:szCs w:val="20"/>
        </w:rPr>
        <w:t>1</w:t>
      </w:r>
      <w:r w:rsidRPr="001A6624">
        <w:rPr>
          <w:i/>
          <w:iCs/>
          <w:sz w:val="18"/>
          <w:szCs w:val="20"/>
        </w:rPr>
        <w:t>.0</w:t>
      </w:r>
      <w:r w:rsidR="00A748D3">
        <w:rPr>
          <w:i/>
          <w:iCs/>
          <w:sz w:val="18"/>
          <w:szCs w:val="20"/>
        </w:rPr>
        <w:t xml:space="preserve"> </w:t>
      </w:r>
      <w:r w:rsidR="00272180">
        <w:rPr>
          <w:i/>
          <w:iCs/>
          <w:sz w:val="18"/>
          <w:szCs w:val="20"/>
        </w:rPr>
        <w:t>EATM</w:t>
      </w:r>
      <w:r w:rsidR="00812F62">
        <w:rPr>
          <w:i/>
          <w:iCs/>
          <w:sz w:val="18"/>
          <w:szCs w:val="20"/>
        </w:rPr>
        <w:t xml:space="preserve"> (English </w:t>
      </w:r>
      <w:r w:rsidR="00B74FEC">
        <w:rPr>
          <w:i/>
          <w:iCs/>
          <w:sz w:val="18"/>
          <w:szCs w:val="20"/>
        </w:rPr>
        <w:t>Law</w:t>
      </w:r>
      <w:r w:rsidR="00E70C4B">
        <w:rPr>
          <w:i/>
          <w:iCs/>
          <w:sz w:val="18"/>
          <w:szCs w:val="20"/>
        </w:rPr>
        <w:t xml:space="preserve"> Agreement and</w:t>
      </w:r>
      <w:r w:rsidR="00B74FEC">
        <w:rPr>
          <w:i/>
          <w:iCs/>
          <w:sz w:val="18"/>
          <w:szCs w:val="20"/>
        </w:rPr>
        <w:t xml:space="preserve"> </w:t>
      </w:r>
      <w:r w:rsidR="00623DC0">
        <w:rPr>
          <w:i/>
          <w:iCs/>
          <w:sz w:val="18"/>
          <w:szCs w:val="20"/>
        </w:rPr>
        <w:t>Terms</w:t>
      </w:r>
      <w:r w:rsidR="00812F62">
        <w:rPr>
          <w:i/>
          <w:iCs/>
          <w:sz w:val="18"/>
          <w:szCs w:val="20"/>
        </w:rPr>
        <w:t>)</w:t>
      </w:r>
      <w:r w:rsidRPr="001A6624">
        <w:rPr>
          <w:i/>
          <w:iCs/>
          <w:sz w:val="18"/>
          <w:szCs w:val="20"/>
        </w:rPr>
        <w:t>.”</w:t>
      </w:r>
    </w:p>
    <w:p w14:paraId="3F9142A1" w14:textId="24E4A7A4" w:rsidR="00A30FFA" w:rsidRDefault="00A30FFA" w:rsidP="00A30FFA">
      <w:pPr>
        <w:pStyle w:val="Level1"/>
        <w:numPr>
          <w:ilvl w:val="0"/>
          <w:numId w:val="0"/>
        </w:numPr>
        <w:spacing w:after="0"/>
        <w:ind w:left="680" w:hanging="680"/>
        <w:jc w:val="center"/>
      </w:pPr>
      <w:r>
        <w:t xml:space="preserve">FIA </w:t>
      </w:r>
      <w:r w:rsidR="00014575">
        <w:t xml:space="preserve">CLIENT CLEARING AGREEMENT </w:t>
      </w:r>
      <w:r>
        <w:t>202</w:t>
      </w:r>
      <w:r w:rsidR="00603A00">
        <w:t>5</w:t>
      </w:r>
      <w:r w:rsidR="00147083">
        <w:t xml:space="preserve"> </w:t>
      </w:r>
      <w:r>
        <w:t>– VERSION 1.0</w:t>
      </w:r>
    </w:p>
    <w:p w14:paraId="3532D1B9" w14:textId="2E099794" w:rsidR="00A30FFA" w:rsidRDefault="00272180" w:rsidP="00A30FFA">
      <w:pPr>
        <w:pStyle w:val="Level1"/>
        <w:numPr>
          <w:ilvl w:val="0"/>
          <w:numId w:val="0"/>
        </w:numPr>
        <w:spacing w:before="60" w:after="280"/>
        <w:ind w:left="680" w:hanging="680"/>
        <w:jc w:val="center"/>
      </w:pPr>
      <w:r>
        <w:t>EATM</w:t>
      </w:r>
      <w:r w:rsidR="000B6E1B">
        <w:t xml:space="preserve"> (ENGLISH LAW</w:t>
      </w:r>
      <w:r w:rsidR="00B74FEC">
        <w:t xml:space="preserve"> </w:t>
      </w:r>
      <w:r w:rsidR="002E340A">
        <w:t xml:space="preserve">AGREEMENT AND </w:t>
      </w:r>
      <w:r w:rsidR="00623DC0">
        <w:t>TERMS</w:t>
      </w:r>
      <w:r w:rsidR="000B6E1B">
        <w:t>)</w:t>
      </w:r>
      <w:r w:rsidR="00291F77">
        <w:rPr>
          <w:rStyle w:val="FootnoteReference"/>
        </w:rPr>
        <w:footnoteReference w:id="1"/>
      </w:r>
    </w:p>
    <w:p w14:paraId="01F63FA4" w14:textId="325BB4E1" w:rsidR="00A30FFA" w:rsidRDefault="00A30FFA" w:rsidP="00A30FFA">
      <w:pPr>
        <w:pStyle w:val="Body1"/>
        <w:ind w:left="0"/>
        <w:jc w:val="center"/>
      </w:pPr>
      <w:r>
        <w:t>Dated: ……………………………………….</w:t>
      </w:r>
    </w:p>
    <w:p w14:paraId="0336E89E" w14:textId="33E1F3E1" w:rsidR="00A30FFA" w:rsidRDefault="00A30FFA" w:rsidP="00A30FFA">
      <w:pPr>
        <w:pStyle w:val="Body1"/>
        <w:spacing w:after="420"/>
        <w:ind w:left="0"/>
        <w:jc w:val="left"/>
      </w:pPr>
      <w:r>
        <w:t xml:space="preserve">Between: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72"/>
        <w:gridCol w:w="580"/>
        <w:gridCol w:w="4079"/>
      </w:tblGrid>
      <w:tr w:rsidR="00A30FFA" w14:paraId="361BB18F" w14:textId="77777777" w:rsidTr="00A30FFA">
        <w:tc>
          <w:tcPr>
            <w:tcW w:w="3823" w:type="dxa"/>
          </w:tcPr>
          <w:p w14:paraId="6AC57B2A" w14:textId="77777777" w:rsidR="00A30FFA" w:rsidRDefault="00A30FFA" w:rsidP="00A30FFA">
            <w:pPr>
              <w:pStyle w:val="Body1"/>
              <w:ind w:left="0"/>
              <w:jc w:val="left"/>
            </w:pPr>
            <w:r>
              <w:t>………………………………………………….</w:t>
            </w:r>
          </w:p>
          <w:p w14:paraId="05CB9D69" w14:textId="0EB3D33B" w:rsidR="00A30FFA" w:rsidRPr="00A30FFA" w:rsidRDefault="00A30FFA" w:rsidP="00A30FFA">
            <w:pPr>
              <w:pStyle w:val="Body1"/>
              <w:ind w:left="0"/>
              <w:jc w:val="left"/>
            </w:pPr>
            <w:r>
              <w:t>(the “</w:t>
            </w:r>
            <w:r>
              <w:rPr>
                <w:b/>
                <w:bCs/>
              </w:rPr>
              <w:t>Firm</w:t>
            </w:r>
            <w:r>
              <w:t>”)</w:t>
            </w:r>
          </w:p>
        </w:tc>
        <w:tc>
          <w:tcPr>
            <w:tcW w:w="708" w:type="dxa"/>
          </w:tcPr>
          <w:p w14:paraId="6F6281AF" w14:textId="3EA1A6E6" w:rsidR="00A30FFA" w:rsidRPr="00A30FFA" w:rsidRDefault="00A30FFA" w:rsidP="00A30FFA">
            <w:pPr>
              <w:pStyle w:val="Body1"/>
              <w:ind w:left="0"/>
              <w:jc w:val="center"/>
              <w:rPr>
                <w:b/>
                <w:bCs/>
              </w:rPr>
            </w:pPr>
            <w:r w:rsidRPr="00A30FFA">
              <w:rPr>
                <w:b/>
                <w:bCs/>
              </w:rPr>
              <w:t>and</w:t>
            </w:r>
          </w:p>
        </w:tc>
        <w:tc>
          <w:tcPr>
            <w:tcW w:w="4190" w:type="dxa"/>
          </w:tcPr>
          <w:p w14:paraId="5EEF6F65" w14:textId="77777777" w:rsidR="00A30FFA" w:rsidRDefault="00A30FFA" w:rsidP="00A30FFA">
            <w:pPr>
              <w:pStyle w:val="Body1"/>
              <w:ind w:left="0"/>
              <w:jc w:val="left"/>
            </w:pPr>
            <w:r>
              <w:t>………………………………………………….</w:t>
            </w:r>
          </w:p>
          <w:p w14:paraId="31160DC9" w14:textId="6ADA12D7" w:rsidR="00A30FFA" w:rsidRPr="00A30FFA" w:rsidRDefault="00A30FFA" w:rsidP="00A30FFA">
            <w:pPr>
              <w:pStyle w:val="Body1"/>
              <w:ind w:left="0"/>
              <w:jc w:val="left"/>
            </w:pPr>
            <w:r>
              <w:t>(the “</w:t>
            </w:r>
            <w:r>
              <w:rPr>
                <w:b/>
                <w:bCs/>
              </w:rPr>
              <w:t>Client</w:t>
            </w:r>
            <w:r>
              <w:t>”)</w:t>
            </w:r>
          </w:p>
        </w:tc>
      </w:tr>
    </w:tbl>
    <w:p w14:paraId="7E55C4CB" w14:textId="2BFB786E" w:rsidR="00A30FFA" w:rsidRDefault="00A30FFA" w:rsidP="001A6624">
      <w:pPr>
        <w:pStyle w:val="Body1"/>
        <w:ind w:left="0"/>
      </w:pPr>
    </w:p>
    <w:p w14:paraId="34853DC9" w14:textId="05C70000" w:rsidR="00F727DC" w:rsidRPr="00E30F38" w:rsidRDefault="0065514F" w:rsidP="00B95E87">
      <w:pPr>
        <w:pStyle w:val="Body1"/>
        <w:ind w:left="0"/>
      </w:pPr>
      <w:r>
        <w:t xml:space="preserve">This </w:t>
      </w:r>
      <w:r w:rsidR="002D1B5B">
        <w:t xml:space="preserve">client clearing </w:t>
      </w:r>
      <w:r w:rsidR="00D80D96">
        <w:t>a</w:t>
      </w:r>
      <w:r w:rsidR="00BA03F4">
        <w:t>g</w:t>
      </w:r>
      <w:r w:rsidR="00014575">
        <w:t xml:space="preserve">reement </w:t>
      </w:r>
      <w:r>
        <w:t>entered into between the Firm</w:t>
      </w:r>
      <w:r w:rsidR="00291F77">
        <w:t xml:space="preserve"> </w:t>
      </w:r>
      <w:r>
        <w:t>and the Client</w:t>
      </w:r>
      <w:r w:rsidR="006B063E">
        <w:t xml:space="preserve">, together with </w:t>
      </w:r>
      <w:r w:rsidR="00B80D49">
        <w:t>the Annexes hereto</w:t>
      </w:r>
      <w:r w:rsidR="008F406F">
        <w:t>,</w:t>
      </w:r>
      <w:r w:rsidR="00D9024C">
        <w:t xml:space="preserve"> and the Segregated </w:t>
      </w:r>
      <w:r w:rsidR="0077069E">
        <w:t>Assets Arrangement</w:t>
      </w:r>
      <w:r w:rsidR="000C3C9B">
        <w:rPr>
          <w:rStyle w:val="FootnoteReference"/>
        </w:rPr>
        <w:footnoteReference w:id="2"/>
      </w:r>
      <w:r w:rsidR="00B80D49">
        <w:t xml:space="preserve"> </w:t>
      </w:r>
      <w:r w:rsidR="00852E28">
        <w:t>(the “</w:t>
      </w:r>
      <w:r w:rsidR="00852E28">
        <w:rPr>
          <w:b/>
          <w:bCs/>
        </w:rPr>
        <w:t>Agreement</w:t>
      </w:r>
      <w:r w:rsidR="00852E28">
        <w:t>”)</w:t>
      </w:r>
      <w:r w:rsidR="006B063E">
        <w:t xml:space="preserve">, </w:t>
      </w:r>
      <w:r>
        <w:t xml:space="preserve">sets out the terms of the contract between the Firm and the Client </w:t>
      </w:r>
      <w:r w:rsidR="009C17EC">
        <w:t>pursuant to which the Firm provides</w:t>
      </w:r>
      <w:r w:rsidR="00D6598C">
        <w:t xml:space="preserve"> </w:t>
      </w:r>
      <w:r w:rsidR="0018190A">
        <w:t xml:space="preserve">the </w:t>
      </w:r>
      <w:r w:rsidR="00D6598C">
        <w:t>services</w:t>
      </w:r>
      <w:r w:rsidR="0018190A">
        <w:t xml:space="preserve"> covered by this </w:t>
      </w:r>
      <w:r w:rsidR="000904D2">
        <w:t xml:space="preserve">Client Clearing </w:t>
      </w:r>
      <w:r w:rsidR="0018190A">
        <w:t>Agreement</w:t>
      </w:r>
      <w:r w:rsidR="009C17EC">
        <w:t xml:space="preserve"> to the Client in respect of </w:t>
      </w:r>
      <w:r w:rsidR="0042652B">
        <w:t xml:space="preserve">the </w:t>
      </w:r>
      <w:r w:rsidR="00784FC9">
        <w:t>Agreed CCP Services</w:t>
      </w:r>
      <w:r w:rsidR="00A05970">
        <w:t xml:space="preserve"> </w:t>
      </w:r>
      <w:r w:rsidR="00A05970" w:rsidRPr="00A05970">
        <w:t xml:space="preserve">and </w:t>
      </w:r>
      <w:r w:rsidR="00A05970" w:rsidRPr="00A05970">
        <w:lastRenderedPageBreak/>
        <w:t xml:space="preserve">in accordance with which the Firm holds the Segregated Assets for the benefit of the Client and all other </w:t>
      </w:r>
      <w:r w:rsidR="00272180">
        <w:t>EATM</w:t>
      </w:r>
      <w:r w:rsidR="00A05970" w:rsidRPr="00A05970">
        <w:t xml:space="preserve"> </w:t>
      </w:r>
      <w:r w:rsidR="00476A84">
        <w:t>Beneficiaries</w:t>
      </w:r>
      <w:r w:rsidR="00390B92">
        <w:t xml:space="preserve">. </w:t>
      </w:r>
      <w:r w:rsidR="00A5117D">
        <w:t xml:space="preserve">The </w:t>
      </w:r>
      <w:r w:rsidR="0018190A">
        <w:t xml:space="preserve">scope of this </w:t>
      </w:r>
      <w:r w:rsidR="000904D2">
        <w:t xml:space="preserve">Client Clearing </w:t>
      </w:r>
      <w:r w:rsidR="0018190A">
        <w:t xml:space="preserve">Agreement is limited to the </w:t>
      </w:r>
      <w:r w:rsidR="00A5117D">
        <w:t>services</w:t>
      </w:r>
      <w:r w:rsidR="0042652B">
        <w:t xml:space="preserve"> provided by the Firm</w:t>
      </w:r>
      <w:r w:rsidR="00A5117D">
        <w:t xml:space="preserve"> </w:t>
      </w:r>
      <w:r w:rsidR="0018190A">
        <w:t>in respect of Transactions cleared at the Agreed CCP Services</w:t>
      </w:r>
      <w:r w:rsidR="00060FDE">
        <w:t>.</w:t>
      </w:r>
      <w:r w:rsidR="00B95E87">
        <w:t xml:space="preserve"> </w:t>
      </w:r>
    </w:p>
    <w:p w14:paraId="7B191840" w14:textId="3B82A251" w:rsidR="00160754" w:rsidRDefault="002C5778" w:rsidP="00685A5F">
      <w:pPr>
        <w:pStyle w:val="Level1"/>
      </w:pPr>
      <w:bookmarkStart w:id="1" w:name="_Ref133075922"/>
      <w:r>
        <w:t>RELATIONSHIP BETWEEN THE FIRM AND THE CLIENT</w:t>
      </w:r>
      <w:bookmarkEnd w:id="1"/>
    </w:p>
    <w:p w14:paraId="1D99E1C2" w14:textId="25779E67" w:rsidR="002C5778" w:rsidRPr="00E570AD" w:rsidRDefault="002C5778" w:rsidP="00094771">
      <w:pPr>
        <w:pStyle w:val="Level2"/>
      </w:pPr>
      <w:r>
        <w:rPr>
          <w:b/>
          <w:bCs/>
          <w:i/>
          <w:iCs/>
        </w:rPr>
        <w:t xml:space="preserve">Information about the Firm: </w:t>
      </w:r>
      <w:r w:rsidRPr="002C5778">
        <w:t>The Firm is [authorised and regulated by the Financial Conduct Authority] [authorised by the Prudential Regulation Authority and regulated by the Financial Conduct Authority and the Prudential Regulation Authority] [authorised and regulated by [</w:t>
      </w:r>
      <w:r w:rsidRPr="007942E2">
        <w:rPr>
          <w:i/>
          <w:iCs/>
        </w:rPr>
        <w:t>insert name of overseas regulator</w:t>
      </w:r>
      <w:r w:rsidRPr="002C5778">
        <w:t>]</w:t>
      </w:r>
      <w:r w:rsidR="008526CB">
        <w:t xml:space="preserve"> [authorised by the Prudential Regulation Authority] [s</w:t>
      </w:r>
      <w:r w:rsidRPr="002C5778">
        <w:t>ubject to regulation by the Financial Conduct Authority and limited regulation by the Prudential Regulation Authority. Details about the extent of our regulation by the Prudential Regulation Authority are available from us on request]. The Firm</w:t>
      </w:r>
      <w:r w:rsidR="00F566E9">
        <w:t>’</w:t>
      </w:r>
      <w:r w:rsidRPr="002C5778">
        <w:t>s [registered office/principal place of business] is [</w:t>
      </w:r>
      <w:r w:rsidRPr="007942E2">
        <w:rPr>
          <w:i/>
          <w:iCs/>
        </w:rPr>
        <w:t>insert as appropriate</w:t>
      </w:r>
      <w:r w:rsidRPr="002C5778">
        <w:t>]. [The Financial Conduct Authority</w:t>
      </w:r>
      <w:r w:rsidR="00F566E9">
        <w:t>’</w:t>
      </w:r>
      <w:r w:rsidRPr="002C5778">
        <w:t>s registered office is 12 Endeavour Square, London E20 1JN.] [The Prudential Regulation Authority</w:t>
      </w:r>
      <w:r w:rsidR="00F566E9">
        <w:t>’</w:t>
      </w:r>
      <w:r w:rsidRPr="002C5778">
        <w:t>s address is 20 Moorgate, London EC2R 6DA.]</w:t>
      </w:r>
      <w:r w:rsidRPr="002C5778">
        <w:rPr>
          <w:b/>
          <w:bCs/>
          <w:i/>
          <w:iCs/>
        </w:rPr>
        <w:t xml:space="preserve"> </w:t>
      </w:r>
    </w:p>
    <w:p w14:paraId="0A42F832" w14:textId="41E71E1E" w:rsidR="00E570AD" w:rsidRDefault="00E570AD" w:rsidP="00094771">
      <w:pPr>
        <w:pStyle w:val="Level2"/>
      </w:pPr>
      <w:r>
        <w:rPr>
          <w:b/>
          <w:bCs/>
          <w:i/>
          <w:iCs/>
        </w:rPr>
        <w:t>Communication with the Firm</w:t>
      </w:r>
      <w:r w:rsidR="0065514F">
        <w:rPr>
          <w:b/>
          <w:bCs/>
          <w:i/>
          <w:iCs/>
        </w:rPr>
        <w:t xml:space="preserve">: </w:t>
      </w:r>
      <w:r w:rsidR="0065514F" w:rsidRPr="0065514F">
        <w:t>The language of communication between the Firm and the Client shall be English, and the Client will receive documents and other information from the Firm in English. [The Firm</w:t>
      </w:r>
      <w:r w:rsidR="00F566E9">
        <w:t>’</w:t>
      </w:r>
      <w:r w:rsidR="0065514F" w:rsidRPr="0065514F">
        <w:t>s website at [</w:t>
      </w:r>
      <w:r w:rsidR="0065514F" w:rsidRPr="007942E2">
        <w:rPr>
          <w:i/>
          <w:iCs/>
        </w:rPr>
        <w:t>insert website address</w:t>
      </w:r>
      <w:r w:rsidR="0065514F" w:rsidRPr="0065514F">
        <w:t>] contains further details about the Firm and its services and other information relevant to th</w:t>
      </w:r>
      <w:r w:rsidR="00887DF4">
        <w:t>e</w:t>
      </w:r>
      <w:r w:rsidR="0065514F" w:rsidRPr="0065514F">
        <w:t xml:space="preserve"> Agreement.]</w:t>
      </w:r>
    </w:p>
    <w:p w14:paraId="6871E1C2" w14:textId="3BE550E8" w:rsidR="00852E28" w:rsidRDefault="00852E28" w:rsidP="00094771">
      <w:pPr>
        <w:pStyle w:val="Level2"/>
      </w:pPr>
      <w:r>
        <w:rPr>
          <w:b/>
          <w:bCs/>
          <w:i/>
          <w:iCs/>
        </w:rPr>
        <w:t xml:space="preserve">Categorisation: </w:t>
      </w:r>
      <w:r>
        <w:t xml:space="preserve">Unless otherwise agreed, the Firm will treat the Client as a professional client for the purposes of the FCA Rules. The Client may request a different client categorisation. If the Client requests categorisation as an eligible counterparty and the Firm agrees to that categorisation, the Firm would no longer be required by regulation to provide certain protections granted to professional clients. The relevant regulatory protections for professional clients [which would not apply to eligible counterparties] include obligations: </w:t>
      </w:r>
    </w:p>
    <w:p w14:paraId="73EEB154" w14:textId="5A7B37D8" w:rsidR="00852E28" w:rsidRDefault="00852E28" w:rsidP="00393770">
      <w:pPr>
        <w:pStyle w:val="Level3"/>
      </w:pPr>
      <w:r>
        <w:t>to act in accordance with the Client</w:t>
      </w:r>
      <w:r w:rsidR="00131408">
        <w:t>’</w:t>
      </w:r>
      <w:r>
        <w:t xml:space="preserve">s best interests; </w:t>
      </w:r>
    </w:p>
    <w:p w14:paraId="2715EC43" w14:textId="041527A6" w:rsidR="00852E28" w:rsidRDefault="00852E28" w:rsidP="00623726">
      <w:pPr>
        <w:pStyle w:val="Level3"/>
      </w:pPr>
      <w:r>
        <w:t xml:space="preserve">that restrict the payment or receipt by the Firm of inducements; </w:t>
      </w:r>
      <w:r w:rsidR="00C908EF">
        <w:t xml:space="preserve">and </w:t>
      </w:r>
    </w:p>
    <w:p w14:paraId="6A6C8F33" w14:textId="77777777" w:rsidR="00852E28" w:rsidRDefault="00852E28" w:rsidP="00623726">
      <w:pPr>
        <w:pStyle w:val="Level3"/>
      </w:pPr>
      <w:r>
        <w:t xml:space="preserve">to ensure that information the Firm provides is fair, clear and not misleading. </w:t>
      </w:r>
    </w:p>
    <w:p w14:paraId="61BE782F" w14:textId="441A363B" w:rsidR="00852E28" w:rsidRDefault="00852E28" w:rsidP="0011089C">
      <w:pPr>
        <w:pStyle w:val="Level2"/>
        <w:numPr>
          <w:ilvl w:val="0"/>
          <w:numId w:val="0"/>
        </w:numPr>
        <w:ind w:left="680"/>
      </w:pPr>
      <w:r>
        <w:t>If the Client requests to be categorised as a retail client, thereby requiring a higher level of regulatory protection, the Firm may not be able to provide its Services to the Client. The Client must inform the Firm about any change that could affect the Client</w:t>
      </w:r>
      <w:r w:rsidR="00131408">
        <w:t>’</w:t>
      </w:r>
      <w:r>
        <w:t>s categorisation as a professional client.</w:t>
      </w:r>
    </w:p>
    <w:p w14:paraId="6B92F2F3" w14:textId="69859383" w:rsidR="00784FC9" w:rsidRDefault="009C17EC" w:rsidP="00094771">
      <w:pPr>
        <w:pStyle w:val="Level2"/>
      </w:pPr>
      <w:bookmarkStart w:id="2" w:name="_Ref139917448"/>
      <w:r w:rsidRPr="009C17EC">
        <w:rPr>
          <w:b/>
          <w:bCs/>
          <w:i/>
          <w:iCs/>
        </w:rPr>
        <w:t>Commencement and Scope:</w:t>
      </w:r>
      <w:r w:rsidRPr="009C17EC">
        <w:t xml:space="preserve"> This </w:t>
      </w:r>
      <w:r w:rsidR="000904D2">
        <w:t>Client Clearing</w:t>
      </w:r>
      <w:r w:rsidR="000904D2" w:rsidRPr="009C17EC">
        <w:t xml:space="preserve"> </w:t>
      </w:r>
      <w:r w:rsidRPr="009C17EC">
        <w:t>Agreement sets out the basis on which the Firm may provide Services (as defined below) to the Client</w:t>
      </w:r>
      <w:r w:rsidR="00784FC9">
        <w:t xml:space="preserve"> in respect of an Agreed CCP Service.</w:t>
      </w:r>
      <w:r w:rsidR="0076033E">
        <w:t xml:space="preserve"> </w:t>
      </w:r>
      <w:r w:rsidR="00EA3483">
        <w:t>[</w:t>
      </w:r>
      <w:r w:rsidR="001C06A6">
        <w:t>T</w:t>
      </w:r>
      <w:r w:rsidR="00AF5DDC" w:rsidRPr="00EE7A51">
        <w:t>his</w:t>
      </w:r>
      <w:r w:rsidR="00AF5DDC">
        <w:t xml:space="preserve"> </w:t>
      </w:r>
      <w:r w:rsidR="00131408">
        <w:t xml:space="preserve">Client Clearing </w:t>
      </w:r>
      <w:r w:rsidR="00AF5DDC">
        <w:t xml:space="preserve">Agreement supersedes and replaces any previous agreement between the Client and the Firm for the provision of Services in relation to the Agreed CCP Services </w:t>
      </w:r>
      <w:r w:rsidR="0081360A">
        <w:t>specified herein only</w:t>
      </w:r>
      <w:r w:rsidR="00EE7A51">
        <w:t>, including any agreement entered between the Firm and the Client in respect of the Agreed CCP Services in the form of the FIA Terms of Business 2018 or the FIA Professional Client Agreement 2011</w:t>
      </w:r>
      <w:r w:rsidR="0062304B">
        <w:t>.</w:t>
      </w:r>
      <w:r w:rsidR="00AF5DDC">
        <w:rPr>
          <w:rStyle w:val="FootnoteReference"/>
        </w:rPr>
        <w:footnoteReference w:id="3"/>
      </w:r>
      <w:r w:rsidR="001C06A6">
        <w:t xml:space="preserve"> The Firm and the Client may, for the avoidance of doubt, have entered into agreements in relation to central counterparty clearing </w:t>
      </w:r>
      <w:r w:rsidR="001C06A6">
        <w:lastRenderedPageBreak/>
        <w:t xml:space="preserve">services that do not constitute Agreed CCP Services for the purposes of this </w:t>
      </w:r>
      <w:r w:rsidR="005C046F">
        <w:t xml:space="preserve">Client Clearing </w:t>
      </w:r>
      <w:r w:rsidR="001C06A6">
        <w:t>Agreement and such agreements shall remain in force between the Client and the Firm in accordance with their terms</w:t>
      </w:r>
      <w:r w:rsidR="005A0D87">
        <w:t>,</w:t>
      </w:r>
      <w:r w:rsidR="001E3C6F">
        <w:t xml:space="preserve"> provided that if there is any conflict between the terms of those agreements and clause </w:t>
      </w:r>
      <w:r w:rsidR="001E3C6F">
        <w:fldChar w:fldCharType="begin" w:fldLock="1"/>
      </w:r>
      <w:r w:rsidR="001E3C6F">
        <w:instrText xml:space="preserve"> REF _Ref138857568 \r \h </w:instrText>
      </w:r>
      <w:r w:rsidR="001E3C6F">
        <w:fldChar w:fldCharType="separate"/>
      </w:r>
      <w:r w:rsidR="009646BC">
        <w:t>3.6</w:t>
      </w:r>
      <w:r w:rsidR="001E3C6F">
        <w:fldChar w:fldCharType="end"/>
      </w:r>
      <w:r w:rsidR="001E3C6F">
        <w:t xml:space="preserve"> (</w:t>
      </w:r>
      <w:r w:rsidR="001E3C6F">
        <w:rPr>
          <w:i/>
          <w:iCs/>
        </w:rPr>
        <w:t>Conversion</w:t>
      </w:r>
      <w:r w:rsidR="001E3C6F">
        <w:t xml:space="preserve">) of this </w:t>
      </w:r>
      <w:r w:rsidR="005C046F">
        <w:t xml:space="preserve">Client Clearing </w:t>
      </w:r>
      <w:r w:rsidR="001E3C6F">
        <w:t xml:space="preserve">Agreement, then clause </w:t>
      </w:r>
      <w:r w:rsidR="001E3C6F">
        <w:fldChar w:fldCharType="begin" w:fldLock="1"/>
      </w:r>
      <w:r w:rsidR="001E3C6F">
        <w:instrText xml:space="preserve"> REF _Ref138857568 \r \h </w:instrText>
      </w:r>
      <w:r w:rsidR="001E3C6F">
        <w:fldChar w:fldCharType="separate"/>
      </w:r>
      <w:r w:rsidR="009646BC">
        <w:t>3.6</w:t>
      </w:r>
      <w:r w:rsidR="001E3C6F">
        <w:fldChar w:fldCharType="end"/>
      </w:r>
      <w:r w:rsidR="001E3C6F">
        <w:t xml:space="preserve"> (</w:t>
      </w:r>
      <w:r w:rsidR="001E3C6F">
        <w:rPr>
          <w:i/>
          <w:iCs/>
        </w:rPr>
        <w:t>Conversion</w:t>
      </w:r>
      <w:r w:rsidR="001E3C6F">
        <w:t>) shall prevail in priority to the terms of those agreements</w:t>
      </w:r>
      <w:r w:rsidR="001E3C6F">
        <w:rPr>
          <w:rStyle w:val="FootnoteReference"/>
        </w:rPr>
        <w:footnoteReference w:id="4"/>
      </w:r>
      <w:r w:rsidR="00AF5DDC">
        <w:t>.</w:t>
      </w:r>
      <w:r w:rsidR="005A1416">
        <w:t>]</w:t>
      </w:r>
      <w:r w:rsidR="005A1416">
        <w:rPr>
          <w:rStyle w:val="FootnoteReference"/>
        </w:rPr>
        <w:footnoteReference w:id="5"/>
      </w:r>
      <w:bookmarkEnd w:id="2"/>
      <w:r w:rsidR="00AF5DDC">
        <w:t xml:space="preserve"> </w:t>
      </w:r>
    </w:p>
    <w:p w14:paraId="1390231C" w14:textId="02D0132D" w:rsidR="0049231E" w:rsidRPr="0049231E" w:rsidRDefault="0049231E" w:rsidP="00094771">
      <w:pPr>
        <w:pStyle w:val="Level2"/>
      </w:pPr>
      <w:bookmarkStart w:id="3" w:name="_Ref132201270"/>
      <w:bookmarkStart w:id="4" w:name="_Ref132202355"/>
      <w:bookmarkStart w:id="5" w:name="_Ref134094353"/>
      <w:bookmarkStart w:id="6" w:name="_Ref132200972"/>
      <w:r>
        <w:rPr>
          <w:b/>
          <w:bCs/>
          <w:i/>
          <w:iCs/>
        </w:rPr>
        <w:t>Subject to Applicable Regulations:</w:t>
      </w:r>
      <w:bookmarkEnd w:id="3"/>
      <w:r>
        <w:rPr>
          <w:b/>
          <w:bCs/>
          <w:i/>
          <w:iCs/>
        </w:rPr>
        <w:t xml:space="preserve"> </w:t>
      </w:r>
      <w:r w:rsidRPr="0049231E">
        <w:t>Th</w:t>
      </w:r>
      <w:r w:rsidR="005D3296">
        <w:t xml:space="preserve">e </w:t>
      </w:r>
      <w:r w:rsidRPr="0049231E">
        <w:t>Agreement</w:t>
      </w:r>
      <w:r>
        <w:t xml:space="preserve">, </w:t>
      </w:r>
      <w:r w:rsidRPr="0049231E">
        <w:t>the provision of Services by the Firm and/or any Associate</w:t>
      </w:r>
      <w:r>
        <w:t xml:space="preserve"> and the Transactions</w:t>
      </w:r>
      <w:r w:rsidRPr="0049231E">
        <w:t xml:space="preserve"> are subject to Applicable Regulations, which means that:</w:t>
      </w:r>
      <w:bookmarkEnd w:id="4"/>
      <w:bookmarkEnd w:id="5"/>
      <w:r w:rsidRPr="0049231E">
        <w:t xml:space="preserve"> </w:t>
      </w:r>
    </w:p>
    <w:p w14:paraId="1B9FA38B" w14:textId="77777777" w:rsidR="0049231E" w:rsidRPr="0049231E" w:rsidRDefault="0049231E" w:rsidP="00623726">
      <w:pPr>
        <w:pStyle w:val="Level3"/>
      </w:pPr>
      <w:r w:rsidRPr="0049231E">
        <w:t>the Firm and any Associate may take or not take any action as they consider appropriate to ensure compliance with Applicable Regulations and any such action or inaction is binding on the Client; and</w:t>
      </w:r>
    </w:p>
    <w:p w14:paraId="3B733A8B" w14:textId="737FC1A0" w:rsidR="0049231E" w:rsidRPr="0049231E" w:rsidRDefault="0049231E" w:rsidP="00623726">
      <w:pPr>
        <w:pStyle w:val="Level3"/>
      </w:pPr>
      <w:r w:rsidRPr="0049231E">
        <w:t xml:space="preserve">any provision of this </w:t>
      </w:r>
      <w:r w:rsidR="00215FFD">
        <w:t>Client Clearing</w:t>
      </w:r>
      <w:r w:rsidR="00215FFD" w:rsidRPr="0049231E">
        <w:t xml:space="preserve"> </w:t>
      </w:r>
      <w:r w:rsidRPr="0049231E">
        <w:t>Agreement and/or obligation of the Firm to provide Services which is inconsistent with Applicable Regulations shall not apply to the extent of the inconsistency.</w:t>
      </w:r>
    </w:p>
    <w:p w14:paraId="25C2DC95" w14:textId="05F720FB" w:rsidR="0049231E" w:rsidRPr="0049231E" w:rsidRDefault="0049231E" w:rsidP="00094771">
      <w:pPr>
        <w:pStyle w:val="Level2"/>
      </w:pPr>
      <w:bookmarkStart w:id="7" w:name="_Ref132202362"/>
      <w:r w:rsidRPr="0049231E">
        <w:rPr>
          <w:b/>
          <w:bCs/>
          <w:i/>
          <w:iCs/>
        </w:rPr>
        <w:t>Infrastructure action:</w:t>
      </w:r>
      <w:r>
        <w:t xml:space="preserve"> </w:t>
      </w:r>
      <w:r w:rsidRPr="0049231E">
        <w:t>If:</w:t>
      </w:r>
      <w:bookmarkEnd w:id="7"/>
      <w:r w:rsidRPr="0049231E">
        <w:t xml:space="preserve"> </w:t>
      </w:r>
    </w:p>
    <w:p w14:paraId="3F94FACC" w14:textId="209CEC8E" w:rsidR="0049231E" w:rsidRPr="0049231E" w:rsidRDefault="0049231E" w:rsidP="00623726">
      <w:pPr>
        <w:pStyle w:val="Level3"/>
      </w:pPr>
      <w:r w:rsidRPr="0049231E">
        <w:t>an Infrastructure gives a direction or takes any action which affects the Client's orders or Transactions</w:t>
      </w:r>
      <w:r w:rsidR="006E326B" w:rsidRPr="0049231E">
        <w:t xml:space="preserve"> </w:t>
      </w:r>
      <w:r w:rsidRPr="0049231E">
        <w:t xml:space="preserve">or the Services; or </w:t>
      </w:r>
    </w:p>
    <w:p w14:paraId="51664690" w14:textId="53C25C60" w:rsidR="0049231E" w:rsidRPr="0049231E" w:rsidRDefault="0049231E" w:rsidP="00623726">
      <w:pPr>
        <w:pStyle w:val="Level3"/>
      </w:pPr>
      <w:r w:rsidRPr="0049231E">
        <w:t xml:space="preserve">an Infrastructure or other intermediary relevant to the Client's Transactions or the Services becomes insolvent or is suspended from operating, </w:t>
      </w:r>
    </w:p>
    <w:p w14:paraId="69D3CB73" w14:textId="263EE97E" w:rsidR="0049231E" w:rsidRPr="0049231E" w:rsidRDefault="0049231E" w:rsidP="008D5E38">
      <w:pPr>
        <w:pStyle w:val="Level2"/>
        <w:numPr>
          <w:ilvl w:val="0"/>
          <w:numId w:val="0"/>
        </w:numPr>
        <w:ind w:left="680"/>
      </w:pPr>
      <w:r w:rsidRPr="0049231E">
        <w:t xml:space="preserve">then the Firm may take any action which it, in its reasonable discretion, considers appropriate to correspond with the direction, action or event or to mitigate any Loss or other impact to the Firm and/or the Client incurred or potential Loss or other impact which may be incurred as a result of the action or event. </w:t>
      </w:r>
    </w:p>
    <w:p w14:paraId="34BE7D72" w14:textId="7778779F" w:rsidR="008D5E38" w:rsidRPr="00094771" w:rsidRDefault="0049231E" w:rsidP="007A1882">
      <w:pPr>
        <w:pStyle w:val="Level2"/>
        <w:rPr>
          <w:b/>
          <w:bCs/>
          <w:i/>
          <w:iCs/>
        </w:rPr>
      </w:pPr>
      <w:r>
        <w:rPr>
          <w:b/>
          <w:bCs/>
          <w:i/>
          <w:iCs/>
        </w:rPr>
        <w:t xml:space="preserve">Action by the Firm: </w:t>
      </w:r>
      <w:r w:rsidR="008D5E38" w:rsidRPr="003E0171">
        <w:t xml:space="preserve">Any action taken by the Firm, in accordance with clause </w:t>
      </w:r>
      <w:r w:rsidR="00FE1F8F">
        <w:fldChar w:fldCharType="begin" w:fldLock="1"/>
      </w:r>
      <w:r w:rsidR="00FE1F8F">
        <w:instrText xml:space="preserve"> REF _Ref134094353 \r \h </w:instrText>
      </w:r>
      <w:r w:rsidR="00FE1F8F">
        <w:fldChar w:fldCharType="separate"/>
      </w:r>
      <w:r w:rsidR="009646BC">
        <w:t>1.5</w:t>
      </w:r>
      <w:r w:rsidR="00FE1F8F">
        <w:fldChar w:fldCharType="end"/>
      </w:r>
      <w:r w:rsidR="008D5E38" w:rsidRPr="003E0171">
        <w:t xml:space="preserve"> (</w:t>
      </w:r>
      <w:r w:rsidR="008D5E38" w:rsidRPr="003E0171">
        <w:rPr>
          <w:i/>
          <w:iCs/>
        </w:rPr>
        <w:t>Subject to Applicable Regulations</w:t>
      </w:r>
      <w:r w:rsidR="008D5E38" w:rsidRPr="003E0171">
        <w:t xml:space="preserve">) or clause </w:t>
      </w:r>
      <w:r w:rsidR="003E0171">
        <w:fldChar w:fldCharType="begin" w:fldLock="1"/>
      </w:r>
      <w:r w:rsidR="003E0171">
        <w:instrText xml:space="preserve"> REF _Ref132202362 \r \h </w:instrText>
      </w:r>
      <w:r w:rsidR="003E0171">
        <w:fldChar w:fldCharType="separate"/>
      </w:r>
      <w:r w:rsidR="009646BC">
        <w:t>1.6</w:t>
      </w:r>
      <w:r w:rsidR="003E0171">
        <w:fldChar w:fldCharType="end"/>
      </w:r>
      <w:r w:rsidR="008D5E38" w:rsidRPr="003E0171">
        <w:t xml:space="preserve"> (</w:t>
      </w:r>
      <w:r w:rsidR="008D5E38" w:rsidRPr="003E0171">
        <w:rPr>
          <w:i/>
          <w:iCs/>
        </w:rPr>
        <w:t>Infrastructure action</w:t>
      </w:r>
      <w:r w:rsidR="008D5E38" w:rsidRPr="003E0171">
        <w:t xml:space="preserve">) is binding on the Client. The Firm and any Associate, and any of their directors, officers, employees or agents, will not be liable for any action that the Firm or any Associate takes, or does not take, in accordance with clause </w:t>
      </w:r>
      <w:r w:rsidR="00FE1F8F">
        <w:fldChar w:fldCharType="begin" w:fldLock="1"/>
      </w:r>
      <w:r w:rsidR="00FE1F8F">
        <w:instrText xml:space="preserve"> REF _Ref134094353 \r \h </w:instrText>
      </w:r>
      <w:r w:rsidR="00FE1F8F">
        <w:fldChar w:fldCharType="separate"/>
      </w:r>
      <w:r w:rsidR="009646BC">
        <w:t>1.5</w:t>
      </w:r>
      <w:r w:rsidR="00FE1F8F">
        <w:fldChar w:fldCharType="end"/>
      </w:r>
      <w:r w:rsidR="008D5E38" w:rsidRPr="003E0171">
        <w:t xml:space="preserve"> (</w:t>
      </w:r>
      <w:r w:rsidR="008D5E38" w:rsidRPr="003E0171">
        <w:rPr>
          <w:i/>
          <w:iCs/>
        </w:rPr>
        <w:t>Subject to Applicable Regulations</w:t>
      </w:r>
      <w:r w:rsidR="008D5E38" w:rsidRPr="003E0171">
        <w:t xml:space="preserve">) or clause </w:t>
      </w:r>
      <w:r w:rsidR="003E0171">
        <w:fldChar w:fldCharType="begin" w:fldLock="1"/>
      </w:r>
      <w:r w:rsidR="003E0171">
        <w:instrText xml:space="preserve"> REF _Ref132202362 \r \h </w:instrText>
      </w:r>
      <w:r w:rsidR="003E0171">
        <w:fldChar w:fldCharType="separate"/>
      </w:r>
      <w:r w:rsidR="009646BC">
        <w:t>1.6</w:t>
      </w:r>
      <w:r w:rsidR="003E0171">
        <w:fldChar w:fldCharType="end"/>
      </w:r>
      <w:r w:rsidR="008D5E38" w:rsidRPr="003E0171">
        <w:t xml:space="preserve"> (</w:t>
      </w:r>
      <w:r w:rsidR="008D5E38" w:rsidRPr="003E0171">
        <w:rPr>
          <w:i/>
          <w:iCs/>
        </w:rPr>
        <w:t>Infrastructure action</w:t>
      </w:r>
      <w:r w:rsidR="008D5E38" w:rsidRPr="003E0171">
        <w:t>).</w:t>
      </w:r>
    </w:p>
    <w:p w14:paraId="1AE26D0A" w14:textId="23E4E54C" w:rsidR="0049231E" w:rsidRDefault="00291F77" w:rsidP="00623726">
      <w:pPr>
        <w:pStyle w:val="Level1"/>
      </w:pPr>
      <w:r>
        <w:lastRenderedPageBreak/>
        <w:t>THE SERVICES</w:t>
      </w:r>
      <w:r w:rsidR="008D3668">
        <w:t xml:space="preserve"> </w:t>
      </w:r>
    </w:p>
    <w:p w14:paraId="651FE39B" w14:textId="729A6AD3" w:rsidR="00DF6736" w:rsidRDefault="00291F77" w:rsidP="00751E31">
      <w:pPr>
        <w:pStyle w:val="Level2"/>
      </w:pPr>
      <w:bookmarkStart w:id="8" w:name="_Ref133417778"/>
      <w:bookmarkStart w:id="9" w:name="_Ref132210259"/>
      <w:r>
        <w:rPr>
          <w:b/>
          <w:bCs/>
          <w:i/>
          <w:iCs/>
        </w:rPr>
        <w:t>General</w:t>
      </w:r>
      <w:r w:rsidR="00152F70">
        <w:rPr>
          <w:b/>
          <w:bCs/>
          <w:i/>
          <w:iCs/>
        </w:rPr>
        <w:t xml:space="preserve">: </w:t>
      </w:r>
      <w:r w:rsidRPr="0097166F">
        <w:t>The Firm may</w:t>
      </w:r>
      <w:r w:rsidR="00D6598C" w:rsidRPr="00BE157C">
        <w:rPr>
          <w:vertAlign w:val="superscript"/>
        </w:rPr>
        <w:footnoteReference w:id="6"/>
      </w:r>
      <w:r w:rsidR="00BD1331" w:rsidRPr="0097166F">
        <w:t xml:space="preserve"> (and is authorised by the Client to)</w:t>
      </w:r>
      <w:r w:rsidRPr="0097166F">
        <w:t xml:space="preserve"> on the Client’s instruction</w:t>
      </w:r>
      <w:r w:rsidR="00E6035A" w:rsidRPr="0097166F">
        <w:t xml:space="preserve"> clear </w:t>
      </w:r>
      <w:r w:rsidR="001C06A6" w:rsidRPr="002E4386">
        <w:t>Clearing Eligible Trades</w:t>
      </w:r>
      <w:r w:rsidR="00E6035A" w:rsidRPr="002E4386">
        <w:t xml:space="preserve"> </w:t>
      </w:r>
      <w:r w:rsidR="00D35661" w:rsidRPr="002E4386">
        <w:t xml:space="preserve">on behalf of the Client </w:t>
      </w:r>
      <w:r w:rsidR="00E6035A" w:rsidRPr="0097166F">
        <w:t xml:space="preserve">at Agreed CCPs in </w:t>
      </w:r>
      <w:r w:rsidR="00D35661" w:rsidRPr="0097166F">
        <w:t>the Firm’s</w:t>
      </w:r>
      <w:r w:rsidR="00E6035A" w:rsidRPr="0097166F">
        <w:t xml:space="preserve"> capacity as a general clearing member and the Firm and/or its Associates may</w:t>
      </w:r>
      <w:r w:rsidR="00452714" w:rsidRPr="0097166F">
        <w:t xml:space="preserve"> </w:t>
      </w:r>
      <w:bookmarkEnd w:id="8"/>
      <w:r w:rsidR="00E239BC" w:rsidRPr="0097166F">
        <w:t>provide any other service agreed between the Firm and the Clien</w:t>
      </w:r>
      <w:r w:rsidR="00D6598C" w:rsidRPr="0097166F">
        <w:t>t</w:t>
      </w:r>
      <w:r w:rsidR="008D3668" w:rsidRPr="0097166F">
        <w:t>, in each case, solely in respect of the Agreed CCP Services</w:t>
      </w:r>
      <w:r w:rsidR="00C908EF" w:rsidRPr="0097166F">
        <w:t xml:space="preserve"> </w:t>
      </w:r>
      <w:r w:rsidR="008D3668" w:rsidRPr="0097166F">
        <w:t xml:space="preserve">and subject to the terms of </w:t>
      </w:r>
      <w:r w:rsidR="003D7B08">
        <w:t xml:space="preserve">the </w:t>
      </w:r>
      <w:r w:rsidR="008D3668" w:rsidRPr="0097166F">
        <w:t xml:space="preserve">Agreement. The </w:t>
      </w:r>
      <w:r w:rsidR="00E239BC" w:rsidRPr="0097166F">
        <w:t xml:space="preserve">services described </w:t>
      </w:r>
      <w:r w:rsidR="008D3668" w:rsidRPr="0097166F">
        <w:t xml:space="preserve">in this clause </w:t>
      </w:r>
      <w:r w:rsidR="008D3668" w:rsidRPr="0097166F">
        <w:fldChar w:fldCharType="begin" w:fldLock="1"/>
      </w:r>
      <w:r w:rsidR="008D3668" w:rsidRPr="0097166F">
        <w:instrText xml:space="preserve"> REF _Ref132210259 \r \h </w:instrText>
      </w:r>
      <w:r w:rsidR="0097166F" w:rsidRPr="002E4386">
        <w:instrText xml:space="preserve"> \* MERGEFORMAT </w:instrText>
      </w:r>
      <w:r w:rsidR="008D3668" w:rsidRPr="0097166F">
        <w:fldChar w:fldCharType="separate"/>
      </w:r>
      <w:r w:rsidR="009646BC">
        <w:t>2.1</w:t>
      </w:r>
      <w:r w:rsidR="008D3668" w:rsidRPr="0097166F">
        <w:fldChar w:fldCharType="end"/>
      </w:r>
      <w:r w:rsidR="00C908EF" w:rsidRPr="0097166F">
        <w:t xml:space="preserve"> </w:t>
      </w:r>
      <w:r w:rsidR="00E239BC" w:rsidRPr="0097166F">
        <w:t xml:space="preserve">are referred to collectively as the </w:t>
      </w:r>
      <w:r w:rsidR="008A5B1C" w:rsidRPr="0097166F">
        <w:t>“</w:t>
      </w:r>
      <w:r w:rsidR="00E239BC" w:rsidRPr="0097166F">
        <w:rPr>
          <w:b/>
          <w:bCs/>
        </w:rPr>
        <w:t>Services</w:t>
      </w:r>
      <w:r w:rsidR="008A5B1C" w:rsidRPr="0097166F">
        <w:t>”</w:t>
      </w:r>
      <w:r w:rsidR="00E239BC" w:rsidRPr="0097166F">
        <w:t>.</w:t>
      </w:r>
      <w:bookmarkEnd w:id="9"/>
      <w:r w:rsidR="00E239BC" w:rsidRPr="0097166F">
        <w:t xml:space="preserve"> </w:t>
      </w:r>
    </w:p>
    <w:p w14:paraId="2E78DCFD" w14:textId="2BDD5D4E" w:rsidR="008D3668" w:rsidRPr="008D3668" w:rsidRDefault="008D3668" w:rsidP="00094771">
      <w:pPr>
        <w:pStyle w:val="Level2"/>
        <w:rPr>
          <w:b/>
          <w:bCs/>
          <w:i/>
          <w:iCs/>
        </w:rPr>
      </w:pPr>
      <w:bookmarkStart w:id="10" w:name="_Ref133406418"/>
      <w:r>
        <w:rPr>
          <w:b/>
          <w:bCs/>
          <w:i/>
          <w:iCs/>
        </w:rPr>
        <w:t>Acting as general clearing member</w:t>
      </w:r>
      <w:r w:rsidR="00BC0712">
        <w:rPr>
          <w:b/>
          <w:bCs/>
          <w:i/>
          <w:iCs/>
        </w:rPr>
        <w:t>:</w:t>
      </w:r>
      <w:r>
        <w:rPr>
          <w:b/>
          <w:bCs/>
          <w:i/>
          <w:iCs/>
        </w:rPr>
        <w:t xml:space="preserve"> </w:t>
      </w:r>
      <w:r w:rsidRPr="008D3668">
        <w:t>The Firm is required to conduct a periodic assessment of whether the Client meets the Firm's requirements in respect of the Performance Criteria. [The Firm is required to conduct such assessments on the following periodic basis: [</w:t>
      </w:r>
      <w:r w:rsidRPr="008D3668">
        <w:rPr>
          <w:i/>
          <w:iCs/>
        </w:rPr>
        <w:t>describe frequency of ongoing assessment, which must be at least annually and may be more frequently</w:t>
      </w:r>
      <w:r w:rsidRPr="008D3668">
        <w:t xml:space="preserve">].] Where the Client does not meet the Firm's requirements, the Firm has a right to suspend one or more Services, or immediately terminate the Services or this </w:t>
      </w:r>
      <w:r w:rsidR="006139CA">
        <w:t>Client Clearing</w:t>
      </w:r>
      <w:r w:rsidR="006139CA" w:rsidRPr="008D3668">
        <w:t xml:space="preserve"> </w:t>
      </w:r>
      <w:r w:rsidRPr="008D3668">
        <w:t>Agreement in accordance wit</w:t>
      </w:r>
      <w:r w:rsidRPr="00B35030">
        <w:t xml:space="preserve">h clause </w:t>
      </w:r>
      <w:r w:rsidR="00B35030" w:rsidRPr="00B35030">
        <w:fldChar w:fldCharType="begin" w:fldLock="1"/>
      </w:r>
      <w:r w:rsidR="00B35030" w:rsidRPr="00B35030">
        <w:instrText xml:space="preserve"> REF _Ref133414791 \w \h </w:instrText>
      </w:r>
      <w:r w:rsidR="00B35030">
        <w:instrText xml:space="preserve"> \* MERGEFORMAT </w:instrText>
      </w:r>
      <w:r w:rsidR="00B35030" w:rsidRPr="00B35030">
        <w:fldChar w:fldCharType="separate"/>
      </w:r>
      <w:r w:rsidR="009646BC">
        <w:t>24</w:t>
      </w:r>
      <w:r w:rsidR="00B35030" w:rsidRPr="00B35030">
        <w:fldChar w:fldCharType="end"/>
      </w:r>
      <w:r w:rsidRPr="00B35030">
        <w:t xml:space="preserve"> (</w:t>
      </w:r>
      <w:r w:rsidRPr="00B35030">
        <w:rPr>
          <w:i/>
          <w:iCs/>
        </w:rPr>
        <w:t>Voluntary Termination</w:t>
      </w:r>
      <w:r w:rsidRPr="00B35030">
        <w:t>).</w:t>
      </w:r>
      <w:bookmarkEnd w:id="10"/>
      <w:r w:rsidRPr="008D3668">
        <w:t xml:space="preserve"> </w:t>
      </w:r>
    </w:p>
    <w:p w14:paraId="1CB76F84" w14:textId="19A146C1" w:rsidR="00681BBB" w:rsidRPr="00681BBB" w:rsidRDefault="00681BBB" w:rsidP="00094771">
      <w:pPr>
        <w:pStyle w:val="Level2"/>
      </w:pPr>
      <w:r w:rsidRPr="00681BBB">
        <w:rPr>
          <w:b/>
          <w:bCs/>
          <w:i/>
          <w:iCs/>
        </w:rPr>
        <w:t>No advice:</w:t>
      </w:r>
      <w:r w:rsidRPr="00681BBB">
        <w:t xml:space="preserve"> Unless the Firm and the Client agree otherwise in writing, the Firm does not advise on the merits of particular </w:t>
      </w:r>
      <w:r>
        <w:t>T</w:t>
      </w:r>
      <w:r w:rsidRPr="00681BBB">
        <w:t xml:space="preserve">ransactions in respect of which it provides Services, or their taxation consequences. From time to time, the Firm may provide information which is ancillary to the Client's relationship with the Firm (including trading recommendations or market commentary); the information is provided solely to enable the Client to make the Client's own investment decisions and does not amount to advice. The Firm makes no representation as to the accuracy or completeness of the information and shall not be liable in any way for that information. The information may be inconsistent with the proprietary investments or recommendations of the Firm or its Associates. The Client should refer to the Firm's Conflicts of Interest Policy for further information on how the Firm manages conflicts which would affect the impartiality of information the Firm provides to the Client. </w:t>
      </w:r>
    </w:p>
    <w:p w14:paraId="7EFD51B6" w14:textId="025F698D" w:rsidR="00175AC1" w:rsidRPr="00175AC1" w:rsidRDefault="00175AC1" w:rsidP="00094771">
      <w:pPr>
        <w:pStyle w:val="Level2"/>
      </w:pPr>
      <w:bookmarkStart w:id="11" w:name="_Ref139917809"/>
      <w:r w:rsidRPr="00175AC1">
        <w:rPr>
          <w:b/>
          <w:bCs/>
          <w:i/>
          <w:iCs/>
        </w:rPr>
        <w:t>Own judgement and suitability:</w:t>
      </w:r>
      <w:r w:rsidRPr="00175AC1">
        <w:t xml:space="preserve"> Upon entering into this </w:t>
      </w:r>
      <w:r w:rsidR="006139CA">
        <w:t>Client Clearing</w:t>
      </w:r>
      <w:r w:rsidR="006139CA" w:rsidRPr="00175AC1">
        <w:t xml:space="preserve"> </w:t>
      </w:r>
      <w:r w:rsidRPr="00175AC1">
        <w:t>Agreement and each time the Client instructs the Firm to enter into any Transaction</w:t>
      </w:r>
      <w:r>
        <w:t xml:space="preserve"> on its behalf</w:t>
      </w:r>
      <w:r w:rsidRPr="00175AC1">
        <w:t xml:space="preserve">, the Client represents that: (i) it has been solely responsible for making its own independent appraisal and investigations into the risks of the Transaction; (ii) it has sufficient knowledge, market sophistication, professional advice and experience to make its own evaluation of the merits and risks of the Transaction; and (iii) it has not relied upon or been induced to enter into this </w:t>
      </w:r>
      <w:r w:rsidR="00417685">
        <w:t>Client Clearing</w:t>
      </w:r>
      <w:r w:rsidR="00417685" w:rsidRPr="00175AC1">
        <w:t xml:space="preserve"> </w:t>
      </w:r>
      <w:r w:rsidRPr="00175AC1">
        <w:t xml:space="preserve">Agreement by any statements, representations or undertakings from the Firm that are not set out in this </w:t>
      </w:r>
      <w:r w:rsidR="00417685">
        <w:t>Client Clearing</w:t>
      </w:r>
      <w:r w:rsidR="00417685" w:rsidRPr="00175AC1">
        <w:t xml:space="preserve"> </w:t>
      </w:r>
      <w:r w:rsidRPr="00175AC1">
        <w:t xml:space="preserve">Agreement. The Firm gives the Client no warranty as to the suitability of the products executed, transmitted or cleared under this </w:t>
      </w:r>
      <w:r w:rsidR="00417685">
        <w:t>Client Clearing</w:t>
      </w:r>
      <w:r w:rsidR="00417685" w:rsidRPr="00175AC1">
        <w:t xml:space="preserve"> </w:t>
      </w:r>
      <w:r w:rsidRPr="00175AC1">
        <w:t>Agreement and the Firm assumes no fiduciary duty to the Client with respect to the suitability of those products.</w:t>
      </w:r>
      <w:bookmarkEnd w:id="11"/>
    </w:p>
    <w:p w14:paraId="58B3C7E3" w14:textId="20479E3F" w:rsidR="00E6035A" w:rsidRDefault="00C908EF" w:rsidP="00094771">
      <w:pPr>
        <w:pStyle w:val="Level2"/>
      </w:pPr>
      <w:r>
        <w:rPr>
          <w:b/>
          <w:bCs/>
          <w:i/>
          <w:iCs/>
        </w:rPr>
        <w:t>P</w:t>
      </w:r>
      <w:r w:rsidR="00F343D1" w:rsidRPr="00F343D1">
        <w:rPr>
          <w:b/>
          <w:bCs/>
          <w:i/>
          <w:iCs/>
        </w:rPr>
        <w:t>osition limits and position management controls</w:t>
      </w:r>
      <w:r w:rsidR="00A4425C">
        <w:rPr>
          <w:b/>
          <w:bCs/>
          <w:i/>
          <w:iCs/>
        </w:rPr>
        <w:t>:</w:t>
      </w:r>
      <w:r w:rsidR="00F343D1" w:rsidRPr="00F343D1">
        <w:t xml:space="preserve"> Position limits and position management controls may be imposed by Applicable Regulations. In relation to the Services, the Firm may also set out and communicate to the Client appropriate position limits which are binding on the Client. In order to ensure compliance with: (i) Applicable Regulations; and/or (ii) position limits set by the Firm, the Firm may require the Client to limit, terminate or reduce the positions which the Client may have at any time and the Firm may </w:t>
      </w:r>
      <w:r w:rsidR="00F343D1" w:rsidRPr="00F343D1">
        <w:lastRenderedPageBreak/>
        <w:t>take any other action the Firm deems appropriate. The Firm, its Associates and their respective directors, officers, employees or agents will not be liable to the Client for any breach of limits applicable to the Client.</w:t>
      </w:r>
    </w:p>
    <w:p w14:paraId="7D52F930" w14:textId="77777777" w:rsidR="009C2853" w:rsidRDefault="009C2853" w:rsidP="00094771">
      <w:pPr>
        <w:pStyle w:val="Level2"/>
      </w:pPr>
      <w:r w:rsidRPr="009C2853">
        <w:rPr>
          <w:b/>
          <w:bCs/>
          <w:i/>
          <w:iCs/>
        </w:rPr>
        <w:t>Authority:</w:t>
      </w:r>
      <w:r>
        <w:t xml:space="preserve"> The Firm and its Associates are entitled to rely upon communications and other actions (including instructions and the exercise of discretions) from any authorised officer, employee or agent of the Client and any communication or action which the Firm or its Associates believe in good faith to have originated from the Client or its authorised agent. The communication or action will be binding on the Client.</w:t>
      </w:r>
    </w:p>
    <w:p w14:paraId="7271644F" w14:textId="77777777" w:rsidR="009C2853" w:rsidRDefault="009C2853" w:rsidP="00094771">
      <w:pPr>
        <w:pStyle w:val="Level2"/>
      </w:pPr>
      <w:r w:rsidRPr="009C2853">
        <w:rPr>
          <w:b/>
          <w:bCs/>
          <w:i/>
          <w:iCs/>
        </w:rPr>
        <w:t>Responsibility for instructions:</w:t>
      </w:r>
      <w:r>
        <w:t xml:space="preserve"> If there is an ambiguity in an instruction given by the Client or where an instruction is in conflict with another instruction, the Firm and/or its Associates will be entitled to act in good faith on what it reasonably believes the instruction to be and the action or inaction of the Firm and/or its Associates will be binding on the Client.</w:t>
      </w:r>
    </w:p>
    <w:p w14:paraId="34DC7E60" w14:textId="4B4E1D6B" w:rsidR="00B06E31" w:rsidRDefault="00B06E31" w:rsidP="00B462F1">
      <w:pPr>
        <w:pStyle w:val="Level2"/>
      </w:pPr>
      <w:bookmarkStart w:id="12" w:name="_Ref165553028"/>
      <w:r w:rsidRPr="00B06E31">
        <w:rPr>
          <w:b/>
          <w:bCs/>
          <w:i/>
          <w:iCs/>
        </w:rPr>
        <w:t>Records</w:t>
      </w:r>
      <w:r>
        <w:t xml:space="preserve">: </w:t>
      </w:r>
      <w:r w:rsidRPr="0097166F">
        <w:t>The Firm will maintain in its books and records one or more accounts in the name of the Client (individually or collectively, the “</w:t>
      </w:r>
      <w:r w:rsidRPr="00B06E31">
        <w:rPr>
          <w:b/>
          <w:bCs/>
        </w:rPr>
        <w:t>Account</w:t>
      </w:r>
      <w:r w:rsidRPr="0097166F">
        <w:t>”) in which the Firm will record</w:t>
      </w:r>
      <w:r w:rsidR="00F939B7">
        <w:t>:</w:t>
      </w:r>
      <w:r w:rsidRPr="0097166F">
        <w:t xml:space="preserve"> (i) Transactions cleared by the Firm on behalf of the Client pursuant to this </w:t>
      </w:r>
      <w:r>
        <w:t>Client Clearing</w:t>
      </w:r>
      <w:r w:rsidRPr="0097166F">
        <w:t xml:space="preserve"> Agreement</w:t>
      </w:r>
      <w:r w:rsidR="00F939B7">
        <w:t>;</w:t>
      </w:r>
      <w:r w:rsidRPr="0097166F">
        <w:t xml:space="preserve"> and (ii) any assets transferred</w:t>
      </w:r>
      <w:r w:rsidR="00E6051E">
        <w:t xml:space="preserve">, </w:t>
      </w:r>
      <w:r w:rsidR="008A3A1F">
        <w:t>or</w:t>
      </w:r>
      <w:r w:rsidR="00E6051E">
        <w:t xml:space="preserve"> any</w:t>
      </w:r>
      <w:r w:rsidR="008A3A1F">
        <w:t xml:space="preserve"> </w:t>
      </w:r>
      <w:r w:rsidR="00E6051E">
        <w:t xml:space="preserve">assets deemed transferred </w:t>
      </w:r>
      <w:r w:rsidR="001C7AFB">
        <w:t xml:space="preserve">by operation of settlement or close-out netting </w:t>
      </w:r>
      <w:r w:rsidR="008A3A1F">
        <w:t>in accordance with</w:t>
      </w:r>
      <w:r w:rsidR="00E6051E">
        <w:t xml:space="preserve"> </w:t>
      </w:r>
      <w:r w:rsidR="008A3A1F">
        <w:t xml:space="preserve">applicable CCP Rules </w:t>
      </w:r>
      <w:r w:rsidR="00E6051E">
        <w:t xml:space="preserve">whereby </w:t>
      </w:r>
      <w:r w:rsidR="001C7AFB">
        <w:t>an</w:t>
      </w:r>
      <w:r w:rsidR="00E6051E">
        <w:t xml:space="preserve"> asset </w:t>
      </w:r>
      <w:r w:rsidR="001C7AFB">
        <w:t>wa</w:t>
      </w:r>
      <w:r w:rsidR="0094626A">
        <w:t>s</w:t>
      </w:r>
      <w:r w:rsidR="00E6051E">
        <w:t xml:space="preserve"> deemed </w:t>
      </w:r>
      <w:r w:rsidR="001C7AFB">
        <w:t>transferred</w:t>
      </w:r>
      <w:r w:rsidR="00E6051E">
        <w:t xml:space="preserve"> by the Firm to the CCP </w:t>
      </w:r>
      <w:r w:rsidR="001C7AFB">
        <w:t>on</w:t>
      </w:r>
      <w:r w:rsidR="00E6051E">
        <w:t xml:space="preserve"> the discharge of an equal and offsetting delivery obligation of the CCP to the Firm</w:t>
      </w:r>
      <w:r w:rsidR="001E3CC7">
        <w:t xml:space="preserve"> (or vice versa)</w:t>
      </w:r>
      <w:r w:rsidR="00E6051E">
        <w:t>,</w:t>
      </w:r>
      <w:r w:rsidRPr="0097166F">
        <w:t xml:space="preserve"> as margin between the Firm and an Agreed CCP in respect of </w:t>
      </w:r>
      <w:r w:rsidR="008A3A1F">
        <w:t>each Segregated Account</w:t>
      </w:r>
      <w:r w:rsidRPr="0097166F">
        <w:t>.</w:t>
      </w:r>
      <w:bookmarkEnd w:id="12"/>
    </w:p>
    <w:p w14:paraId="272268B2" w14:textId="29782AC7" w:rsidR="00D911CE" w:rsidRDefault="009C2853" w:rsidP="00623726">
      <w:pPr>
        <w:pStyle w:val="Level1"/>
      </w:pPr>
      <w:r w:rsidRPr="004E00A3">
        <w:t>CLEARING OF TRANSACTIONS</w:t>
      </w:r>
    </w:p>
    <w:p w14:paraId="34FBF4E9" w14:textId="4B5F09D7" w:rsidR="004E00A3" w:rsidRDefault="00D911CE" w:rsidP="001A6624">
      <w:pPr>
        <w:pStyle w:val="Level2"/>
      </w:pPr>
      <w:bookmarkStart w:id="13" w:name="_Ref133067330"/>
      <w:r>
        <w:rPr>
          <w:b/>
          <w:bCs/>
          <w:i/>
          <w:iCs/>
        </w:rPr>
        <w:t xml:space="preserve">General: </w:t>
      </w:r>
      <w:r w:rsidR="009E5D7D">
        <w:t>Upon a</w:t>
      </w:r>
      <w:r w:rsidR="00A34409">
        <w:t>n Agreed CCP’s acceptance of a</w:t>
      </w:r>
      <w:r w:rsidR="009E5D7D">
        <w:t xml:space="preserve"> Clearing Eligible Trade </w:t>
      </w:r>
      <w:r w:rsidR="008A3C67">
        <w:t>for clearing</w:t>
      </w:r>
      <w:r w:rsidR="009E5D7D">
        <w:t xml:space="preserve"> through an Agreed CCP</w:t>
      </w:r>
      <w:r w:rsidR="008A3C67">
        <w:t xml:space="preserve"> Service</w:t>
      </w:r>
      <w:r w:rsidR="009E5D7D">
        <w:t>, the corresponding Transaction</w:t>
      </w:r>
      <w:r w:rsidR="00FB76C2">
        <w:t xml:space="preserve"> </w:t>
      </w:r>
      <w:r w:rsidR="008A3C67">
        <w:t xml:space="preserve">entered into with such Agreed CCP by the Firm </w:t>
      </w:r>
      <w:r w:rsidR="00FB76C2">
        <w:t>shall</w:t>
      </w:r>
      <w:r w:rsidR="009E5D7D">
        <w:t xml:space="preserve">, in accordance with the </w:t>
      </w:r>
      <w:r w:rsidR="00FE26E3">
        <w:t>segregation</w:t>
      </w:r>
      <w:r w:rsidR="009E5D7D">
        <w:t xml:space="preserve"> election made in Table A in respect of that Agreed CCP Service, </w:t>
      </w:r>
      <w:r w:rsidR="00FB76C2">
        <w:t xml:space="preserve">be </w:t>
      </w:r>
      <w:r w:rsidR="004D37AD">
        <w:t xml:space="preserve">recorded </w:t>
      </w:r>
      <w:r w:rsidR="00FB76C2">
        <w:t>to</w:t>
      </w:r>
      <w:r w:rsidR="00851B6D">
        <w:t xml:space="preserve"> </w:t>
      </w:r>
      <w:r w:rsidR="00851B6D" w:rsidRPr="00851B6D">
        <w:t xml:space="preserve">the relevant </w:t>
      </w:r>
      <w:r w:rsidR="003333CE">
        <w:t>Segregated</w:t>
      </w:r>
      <w:r w:rsidR="00851B6D" w:rsidRPr="00851B6D">
        <w:t xml:space="preserve"> Account and that Transaction will be held by the Firm pursuant to, and in accordance with, the </w:t>
      </w:r>
      <w:r w:rsidR="00993ACC">
        <w:t>Segregated Asset</w:t>
      </w:r>
      <w:r w:rsidR="00851B6D" w:rsidRPr="00851B6D">
        <w:t xml:space="preserve"> Terms</w:t>
      </w:r>
      <w:r w:rsidR="00851B6D">
        <w:t>.</w:t>
      </w:r>
      <w:bookmarkEnd w:id="13"/>
    </w:p>
    <w:p w14:paraId="39346537" w14:textId="21885065" w:rsidR="00FB76C2" w:rsidRPr="00FB76C2" w:rsidRDefault="00FB76C2" w:rsidP="00094771">
      <w:pPr>
        <w:pStyle w:val="Level2"/>
      </w:pPr>
      <w:r>
        <w:rPr>
          <w:b/>
          <w:bCs/>
          <w:i/>
          <w:iCs/>
        </w:rPr>
        <w:t xml:space="preserve">Rejected transactions: </w:t>
      </w:r>
      <w:r w:rsidR="009A43AD" w:rsidRPr="009A43AD">
        <w:t>If</w:t>
      </w:r>
      <w:r w:rsidR="00932D81">
        <w:t>, for any reason,</w:t>
      </w:r>
      <w:r w:rsidR="009A43AD" w:rsidRPr="009A43AD">
        <w:t xml:space="preserve"> an Agreed CCP does not accept a </w:t>
      </w:r>
      <w:r w:rsidR="000B2D37">
        <w:t>transaction</w:t>
      </w:r>
      <w:r w:rsidR="009A43AD" w:rsidRPr="009A43AD">
        <w:t xml:space="preserve"> for clearing, the Firm will notify the Client promptly and the Firm will have no obligation </w:t>
      </w:r>
      <w:r w:rsidR="00CA7FD1">
        <w:t xml:space="preserve">or liability </w:t>
      </w:r>
      <w:r w:rsidR="009A43AD" w:rsidRPr="009A43AD">
        <w:t xml:space="preserve">under this </w:t>
      </w:r>
      <w:r w:rsidR="00417685">
        <w:t>Client Clearing</w:t>
      </w:r>
      <w:r w:rsidR="00417685" w:rsidRPr="009A43AD">
        <w:t xml:space="preserve"> </w:t>
      </w:r>
      <w:r w:rsidR="009A43AD" w:rsidRPr="009A43AD">
        <w:t xml:space="preserve">Agreement or otherwise (and, in particular, no obligation in respect of any Loss which may arise as a result of any interval before notification of non-acceptance is made) to the Client in respect of the </w:t>
      </w:r>
      <w:r w:rsidR="000B2D37">
        <w:t>transaction</w:t>
      </w:r>
      <w:r w:rsidR="00D67BDC">
        <w:t xml:space="preserve">. </w:t>
      </w:r>
    </w:p>
    <w:p w14:paraId="36CD83A7" w14:textId="1EA5C309" w:rsidR="00622A33" w:rsidRPr="00622A33" w:rsidRDefault="00622A33" w:rsidP="00094771">
      <w:pPr>
        <w:pStyle w:val="Level2"/>
        <w:rPr>
          <w:b/>
          <w:bCs/>
          <w:i/>
          <w:iCs/>
        </w:rPr>
      </w:pPr>
      <w:r w:rsidRPr="00622A33">
        <w:rPr>
          <w:b/>
          <w:bCs/>
          <w:i/>
          <w:iCs/>
        </w:rPr>
        <w:t xml:space="preserve">Relationship with Infrastructures: </w:t>
      </w:r>
      <w:r w:rsidRPr="00622A33">
        <w:t>The Firm may notify any Infrastructure of the position limits or position management controls applicable to the Client's trading</w:t>
      </w:r>
      <w:r w:rsidR="000B2E29">
        <w:t>.</w:t>
      </w:r>
    </w:p>
    <w:p w14:paraId="2A236A45" w14:textId="3241A561" w:rsidR="00B7141C" w:rsidRPr="00094771" w:rsidRDefault="00B7141C" w:rsidP="00094771">
      <w:pPr>
        <w:pStyle w:val="Level2"/>
        <w:rPr>
          <w:b/>
          <w:bCs/>
          <w:i/>
          <w:iCs/>
        </w:rPr>
      </w:pPr>
      <w:bookmarkStart w:id="14" w:name="_Ref138849118"/>
      <w:r>
        <w:rPr>
          <w:b/>
          <w:bCs/>
          <w:i/>
          <w:iCs/>
        </w:rPr>
        <w:t>Conditions for accepting Clearing Eligible Trades for clearing</w:t>
      </w:r>
      <w:r w:rsidR="00D911CE">
        <w:rPr>
          <w:b/>
          <w:bCs/>
          <w:i/>
          <w:iCs/>
        </w:rPr>
        <w:t xml:space="preserve">: </w:t>
      </w:r>
      <w:r>
        <w:t xml:space="preserve">Notwithstanding any other provision in this </w:t>
      </w:r>
      <w:r w:rsidR="008229EC">
        <w:t xml:space="preserve">Client Clearing </w:t>
      </w:r>
      <w:r>
        <w:t>Agreement, the Firm agrees that it will accept for clearing any Clearing Eligible Trade which is submitted for clearing if the relevant Agreed CCP accepts the corresponding Transaction for clearing, provided that the Firm determines that:</w:t>
      </w:r>
      <w:bookmarkEnd w:id="14"/>
      <w:r>
        <w:t xml:space="preserve"> </w:t>
      </w:r>
    </w:p>
    <w:p w14:paraId="1453A29B" w14:textId="6B42CA57" w:rsidR="00B7141C" w:rsidRPr="00094771" w:rsidRDefault="00B7141C" w:rsidP="00094771">
      <w:pPr>
        <w:pStyle w:val="Level3"/>
        <w:rPr>
          <w:b/>
          <w:bCs/>
          <w:i/>
          <w:iCs/>
        </w:rPr>
      </w:pPr>
      <w:r>
        <w:t xml:space="preserve">accepting such Clearing Eligible Trade for clearing will not violate any Applicable Regulations; </w:t>
      </w:r>
    </w:p>
    <w:p w14:paraId="7C59649C" w14:textId="33225546" w:rsidR="00E651C0" w:rsidRPr="00094771" w:rsidRDefault="00E651C0" w:rsidP="00094771">
      <w:pPr>
        <w:pStyle w:val="Level3"/>
        <w:rPr>
          <w:b/>
          <w:bCs/>
          <w:i/>
          <w:iCs/>
        </w:rPr>
      </w:pPr>
      <w:r>
        <w:lastRenderedPageBreak/>
        <w:t>accepting such Clearing Eligible Trade for clearing by the Firm would not exceed, or further exceed, any relevant trading limit or position limit;</w:t>
      </w:r>
    </w:p>
    <w:p w14:paraId="472E27C9" w14:textId="6651EB93" w:rsidR="00E651C0" w:rsidRPr="00094771" w:rsidRDefault="00E651C0" w:rsidP="00094771">
      <w:pPr>
        <w:pStyle w:val="Level3"/>
        <w:rPr>
          <w:b/>
          <w:bCs/>
          <w:i/>
          <w:iCs/>
        </w:rPr>
      </w:pPr>
      <w:r>
        <w:t xml:space="preserve">the Agreed CCP Service </w:t>
      </w:r>
      <w:r w:rsidR="005F4AC0">
        <w:t>at</w:t>
      </w:r>
      <w:r>
        <w:t xml:space="preserve"> which the Clearing Eligible Trade will be cleared is not specified </w:t>
      </w:r>
      <w:r w:rsidR="00587D05">
        <w:t xml:space="preserve">in any Principal Model Agreement entered into, and in force, between the Client and the Firm </w:t>
      </w:r>
      <w:r>
        <w:t xml:space="preserve">as a CCP </w:t>
      </w:r>
      <w:r w:rsidR="009F3C63">
        <w:t>s</w:t>
      </w:r>
      <w:r>
        <w:t>ervice</w:t>
      </w:r>
      <w:r w:rsidR="009F3C63">
        <w:t xml:space="preserve"> </w:t>
      </w:r>
      <w:r w:rsidR="005F4AC0">
        <w:t>at</w:t>
      </w:r>
      <w:r w:rsidR="009F3C63">
        <w:t xml:space="preserve"> which the Firm may clear transactions on behalf of the Client</w:t>
      </w:r>
      <w:r w:rsidR="00587D05">
        <w:t>;</w:t>
      </w:r>
    </w:p>
    <w:p w14:paraId="2029F0C1" w14:textId="704ABF58" w:rsidR="00E651C0" w:rsidRPr="00094771" w:rsidRDefault="00E651C0" w:rsidP="00094771">
      <w:pPr>
        <w:pStyle w:val="Level3"/>
        <w:rPr>
          <w:b/>
          <w:bCs/>
          <w:i/>
          <w:iCs/>
        </w:rPr>
      </w:pPr>
      <w:r>
        <w:t>no Event of Default in respect of the Client has occurred and is continuing or would occur as a result of clearing the Clearing Eligible Trade;</w:t>
      </w:r>
    </w:p>
    <w:p w14:paraId="636A7C31" w14:textId="7EE84AFA" w:rsidR="00E651C0" w:rsidRPr="00094771" w:rsidRDefault="00E651C0" w:rsidP="00094771">
      <w:pPr>
        <w:pStyle w:val="Level3"/>
        <w:rPr>
          <w:b/>
          <w:bCs/>
          <w:i/>
          <w:iCs/>
        </w:rPr>
      </w:pPr>
      <w:r>
        <w:t xml:space="preserve">the Client has paid all amounts due and payable under this </w:t>
      </w:r>
      <w:r w:rsidR="004F5628">
        <w:t xml:space="preserve">Client Clearing </w:t>
      </w:r>
      <w:r>
        <w:t>Agreement and any amount which the Firm requires to be pre-funded; and</w:t>
      </w:r>
    </w:p>
    <w:p w14:paraId="3FC17E35" w14:textId="5624A64E" w:rsidR="00E651C0" w:rsidRPr="00094771" w:rsidRDefault="00E651C0" w:rsidP="00094771">
      <w:pPr>
        <w:pStyle w:val="Level3"/>
        <w:rPr>
          <w:b/>
          <w:bCs/>
          <w:i/>
          <w:iCs/>
        </w:rPr>
      </w:pPr>
      <w:r>
        <w:t xml:space="preserve">the Firm is not prevented from accepting the Clearing Eligible Trade for clearing by any reason outside its control, </w:t>
      </w:r>
    </w:p>
    <w:p w14:paraId="570CE729" w14:textId="2CCEDCA2" w:rsidR="00E651C0" w:rsidRPr="00094771" w:rsidRDefault="00E651C0" w:rsidP="00094771">
      <w:pPr>
        <w:pStyle w:val="Level3"/>
        <w:numPr>
          <w:ilvl w:val="0"/>
          <w:numId w:val="0"/>
        </w:numPr>
        <w:ind w:left="1361" w:hanging="681"/>
        <w:rPr>
          <w:i/>
          <w:iCs/>
        </w:rPr>
      </w:pPr>
      <w:r>
        <w:t>(together, the “</w:t>
      </w:r>
      <w:r>
        <w:rPr>
          <w:b/>
          <w:bCs/>
        </w:rPr>
        <w:t>Conditions</w:t>
      </w:r>
      <w:r w:rsidR="002E340A">
        <w:rPr>
          <w:b/>
          <w:bCs/>
        </w:rPr>
        <w:t xml:space="preserve"> to Clearing</w:t>
      </w:r>
      <w:r>
        <w:t xml:space="preserve">”). </w:t>
      </w:r>
    </w:p>
    <w:p w14:paraId="25F0DF26" w14:textId="16F2FED5" w:rsidR="006A7CBF" w:rsidRPr="006A7CBF" w:rsidRDefault="006A7CBF" w:rsidP="00094771">
      <w:pPr>
        <w:pStyle w:val="Level2"/>
        <w:numPr>
          <w:ilvl w:val="0"/>
          <w:numId w:val="0"/>
        </w:numPr>
        <w:ind w:left="680"/>
        <w:rPr>
          <w:b/>
          <w:bCs/>
          <w:i/>
          <w:iCs/>
        </w:rPr>
      </w:pPr>
      <w:r w:rsidRPr="006A7CBF">
        <w:t xml:space="preserve">If the Firm </w:t>
      </w:r>
      <w:r w:rsidR="00587D05">
        <w:t xml:space="preserve">determines that any of the Conditions </w:t>
      </w:r>
      <w:r w:rsidR="002E340A">
        <w:t xml:space="preserve">to Clearing </w:t>
      </w:r>
      <w:r w:rsidR="00587D05">
        <w:t>are not met</w:t>
      </w:r>
      <w:r w:rsidRPr="006A7CBF">
        <w:t>, the Firm will promptly notify the Client</w:t>
      </w:r>
      <w:r w:rsidR="00587D05">
        <w:t xml:space="preserve"> of such determination. </w:t>
      </w:r>
    </w:p>
    <w:p w14:paraId="5080BD95" w14:textId="2117A677" w:rsidR="009220B9" w:rsidRPr="009748CA" w:rsidRDefault="00330B22" w:rsidP="00094771">
      <w:pPr>
        <w:pStyle w:val="Level2"/>
        <w:rPr>
          <w:b/>
          <w:bCs/>
        </w:rPr>
      </w:pPr>
      <w:bookmarkStart w:id="15" w:name="_Ref139917959"/>
      <w:r w:rsidRPr="00016348">
        <w:t>[</w:t>
      </w:r>
      <w:r w:rsidR="009220B9" w:rsidRPr="009220B9">
        <w:rPr>
          <w:b/>
          <w:bCs/>
          <w:i/>
          <w:iCs/>
        </w:rPr>
        <w:t xml:space="preserve">Capacity: </w:t>
      </w:r>
      <w:r w:rsidR="009220B9">
        <w:t>Unless otherwise agreed in writing, the Client acts as principal and not as agent (or trustee) on behalf of someone else.</w:t>
      </w:r>
      <w:bookmarkEnd w:id="15"/>
      <w:r w:rsidR="00371370">
        <w:t>]</w:t>
      </w:r>
      <w:r w:rsidR="00651617">
        <w:rPr>
          <w:rStyle w:val="FootnoteReference"/>
        </w:rPr>
        <w:footnoteReference w:id="7"/>
      </w:r>
    </w:p>
    <w:p w14:paraId="400AF181" w14:textId="0502B398" w:rsidR="009220B9" w:rsidRPr="00A52E38" w:rsidRDefault="009220B9" w:rsidP="00994FBC">
      <w:pPr>
        <w:pStyle w:val="Level2"/>
        <w:keepNext/>
      </w:pPr>
      <w:bookmarkStart w:id="16" w:name="_Ref138857568"/>
      <w:r w:rsidRPr="00A52E38">
        <w:rPr>
          <w:b/>
          <w:bCs/>
          <w:i/>
          <w:iCs/>
        </w:rPr>
        <w:t>Conversion</w:t>
      </w:r>
      <w:bookmarkEnd w:id="16"/>
      <w:r w:rsidRPr="00A52E38">
        <w:rPr>
          <w:b/>
          <w:bCs/>
          <w:i/>
          <w:iCs/>
        </w:rPr>
        <w:t xml:space="preserve"> </w:t>
      </w:r>
    </w:p>
    <w:p w14:paraId="60084DFA" w14:textId="051F2911" w:rsidR="009220B9" w:rsidRDefault="009220B9" w:rsidP="00994FBC">
      <w:pPr>
        <w:pStyle w:val="Level3"/>
        <w:keepNext/>
        <w:rPr>
          <w:b/>
          <w:bCs/>
          <w:i/>
          <w:iCs/>
        </w:rPr>
      </w:pPr>
      <w:bookmarkStart w:id="17" w:name="_Ref133072108"/>
      <w:bookmarkStart w:id="18" w:name="_Ref134028564"/>
      <w:r w:rsidRPr="009220B9">
        <w:rPr>
          <w:b/>
          <w:bCs/>
          <w:i/>
          <w:iCs/>
        </w:rPr>
        <w:t xml:space="preserve">Conversion from </w:t>
      </w:r>
      <w:r w:rsidR="00060FDE">
        <w:rPr>
          <w:b/>
          <w:bCs/>
          <w:i/>
          <w:iCs/>
        </w:rPr>
        <w:t>Principal Model</w:t>
      </w:r>
      <w:r w:rsidRPr="009220B9">
        <w:rPr>
          <w:b/>
          <w:bCs/>
          <w:i/>
          <w:iCs/>
        </w:rPr>
        <w:t xml:space="preserve"> </w:t>
      </w:r>
      <w:bookmarkEnd w:id="17"/>
      <w:r w:rsidR="00A918B4">
        <w:rPr>
          <w:b/>
          <w:bCs/>
          <w:i/>
          <w:iCs/>
        </w:rPr>
        <w:t>Agreement</w:t>
      </w:r>
      <w:bookmarkEnd w:id="18"/>
    </w:p>
    <w:p w14:paraId="08DDE470" w14:textId="4B8AC0C2" w:rsidR="00D911CE" w:rsidRPr="004C0F61" w:rsidRDefault="00C02134" w:rsidP="004C0F61">
      <w:pPr>
        <w:pStyle w:val="Level4"/>
      </w:pPr>
      <w:bookmarkStart w:id="19" w:name="_Ref133066092"/>
      <w:bookmarkStart w:id="20" w:name="_Ref134027945"/>
      <w:r>
        <w:t xml:space="preserve">The Client </w:t>
      </w:r>
      <w:r w:rsidR="005A0D87">
        <w:t>and</w:t>
      </w:r>
      <w:r>
        <w:t xml:space="preserve"> the Firm </w:t>
      </w:r>
      <w:r w:rsidR="009220B9">
        <w:t xml:space="preserve">may </w:t>
      </w:r>
      <w:r w:rsidR="005B550E">
        <w:t xml:space="preserve">agree </w:t>
      </w:r>
      <w:r w:rsidR="009220B9">
        <w:t>that</w:t>
      </w:r>
      <w:r w:rsidR="000847F7">
        <w:t xml:space="preserve"> </w:t>
      </w:r>
      <w:r w:rsidR="00CB4681">
        <w:t xml:space="preserve">each </w:t>
      </w:r>
      <w:r w:rsidR="00BF2637">
        <w:t xml:space="preserve">Principal Model </w:t>
      </w:r>
      <w:r w:rsidR="005B550E">
        <w:t>Firm/CCP</w:t>
      </w:r>
      <w:r w:rsidR="009220B9">
        <w:t xml:space="preserve"> </w:t>
      </w:r>
      <w:r w:rsidR="005B550E">
        <w:t>Tr</w:t>
      </w:r>
      <w:r w:rsidR="009220B9">
        <w:t>ansaction</w:t>
      </w:r>
      <w:r w:rsidR="00CB4681">
        <w:t xml:space="preserve"> that forms part</w:t>
      </w:r>
      <w:r w:rsidR="009220B9">
        <w:t xml:space="preserve"> </w:t>
      </w:r>
      <w:r w:rsidR="00A861A1">
        <w:t>of a Principal Model Conversion Set (</w:t>
      </w:r>
      <w:r w:rsidR="00CB4681">
        <w:t>each such</w:t>
      </w:r>
      <w:r w:rsidR="00A861A1">
        <w:t xml:space="preserve"> </w:t>
      </w:r>
      <w:r w:rsidR="00BF2637">
        <w:t xml:space="preserve">Principal Model </w:t>
      </w:r>
      <w:r w:rsidR="005C174C">
        <w:t>Firm/CCP Transaction</w:t>
      </w:r>
      <w:r w:rsidR="00A861A1">
        <w:t xml:space="preserve">, </w:t>
      </w:r>
      <w:r w:rsidR="00CB4681">
        <w:t>a</w:t>
      </w:r>
      <w:r w:rsidR="00A861A1">
        <w:t xml:space="preserve"> “</w:t>
      </w:r>
      <w:r w:rsidR="00A861A1">
        <w:rPr>
          <w:b/>
          <w:bCs/>
        </w:rPr>
        <w:t xml:space="preserve">Principal Model Conversion </w:t>
      </w:r>
      <w:r w:rsidR="00A861A1" w:rsidRPr="001C23FE">
        <w:rPr>
          <w:b/>
          <w:bCs/>
        </w:rPr>
        <w:t>Transaction</w:t>
      </w:r>
      <w:r w:rsidR="00A861A1">
        <w:t xml:space="preserve">”) </w:t>
      </w:r>
      <w:r w:rsidR="00520A56">
        <w:t xml:space="preserve">should be </w:t>
      </w:r>
      <w:r>
        <w:t xml:space="preserve">cleared by the Firm pursuant to this </w:t>
      </w:r>
      <w:r w:rsidR="002D4A74">
        <w:t xml:space="preserve">Client Clearing </w:t>
      </w:r>
      <w:r>
        <w:t>Agreemen</w:t>
      </w:r>
      <w:r w:rsidR="005B550E">
        <w:t xml:space="preserve">t. </w:t>
      </w:r>
      <w:bookmarkEnd w:id="19"/>
      <w:bookmarkEnd w:id="20"/>
    </w:p>
    <w:p w14:paraId="5663ACD9" w14:textId="53539FAD" w:rsidR="00CD1363" w:rsidRPr="004C0F61" w:rsidRDefault="00BD7FA1" w:rsidP="001A0472">
      <w:pPr>
        <w:pStyle w:val="Level4"/>
      </w:pPr>
      <w:bookmarkStart w:id="21" w:name="_Ref133075494"/>
      <w:r>
        <w:t>On</w:t>
      </w:r>
      <w:r w:rsidR="00931E4C">
        <w:t xml:space="preserve"> the</w:t>
      </w:r>
      <w:r>
        <w:t xml:space="preserve"> agreement </w:t>
      </w:r>
      <w:r w:rsidR="00931E4C">
        <w:t>of</w:t>
      </w:r>
      <w:r>
        <w:t xml:space="preserve"> the Parties, </w:t>
      </w:r>
      <w:r w:rsidR="00314FDA">
        <w:t>at</w:t>
      </w:r>
      <w:r w:rsidR="00E25C2E">
        <w:t xml:space="preserve"> the </w:t>
      </w:r>
      <w:r w:rsidR="00060FDE">
        <w:t>Principal Model</w:t>
      </w:r>
      <w:r w:rsidR="00E25C2E">
        <w:t xml:space="preserve"> Conversion Time</w:t>
      </w:r>
      <w:r w:rsidR="00CD1363">
        <w:t>:</w:t>
      </w:r>
      <w:bookmarkEnd w:id="21"/>
      <w:r w:rsidR="00CD1363">
        <w:t xml:space="preserve"> </w:t>
      </w:r>
    </w:p>
    <w:p w14:paraId="21166770" w14:textId="54EE8530" w:rsidR="00BD7FA1" w:rsidRPr="004C0F61" w:rsidRDefault="002940D7" w:rsidP="00623726">
      <w:pPr>
        <w:pStyle w:val="Level5"/>
      </w:pPr>
      <w:bookmarkStart w:id="22" w:name="_Ref133068533"/>
      <w:r>
        <w:t xml:space="preserve">the </w:t>
      </w:r>
      <w:r w:rsidR="004E2C28">
        <w:t>Principal Model Conversion Transaction</w:t>
      </w:r>
      <w:r w:rsidR="005F4AC0">
        <w:t>s</w:t>
      </w:r>
      <w:r w:rsidR="004E2C28">
        <w:t xml:space="preserve"> </w:t>
      </w:r>
      <w:r w:rsidR="00207D56">
        <w:t xml:space="preserve">forming part of the relevant Principal Model Conversion Set </w:t>
      </w:r>
      <w:r w:rsidR="004E2C28">
        <w:t>(or such transaction</w:t>
      </w:r>
      <w:r w:rsidR="005F4AC0">
        <w:t>s</w:t>
      </w:r>
      <w:r w:rsidR="004E2C28">
        <w:t xml:space="preserve"> </w:t>
      </w:r>
      <w:r w:rsidR="009F3C63">
        <w:t xml:space="preserve">that are cleared by the Firm in respect of the same CCP service and as </w:t>
      </w:r>
      <w:r w:rsidR="004E2C28">
        <w:t xml:space="preserve">agreed between the Parties which, for the purposes of the remainder of this clause </w:t>
      </w:r>
      <w:r w:rsidR="004E2C28">
        <w:fldChar w:fldCharType="begin" w:fldLock="1"/>
      </w:r>
      <w:r w:rsidR="004E2C28">
        <w:instrText xml:space="preserve"> REF _Ref134028564 \r \h </w:instrText>
      </w:r>
      <w:r w:rsidR="004E2C28">
        <w:fldChar w:fldCharType="separate"/>
      </w:r>
      <w:r w:rsidR="009646BC">
        <w:t>3.6.1</w:t>
      </w:r>
      <w:r w:rsidR="004E2C28">
        <w:fldChar w:fldCharType="end"/>
      </w:r>
      <w:r w:rsidR="004E2C28">
        <w:t xml:space="preserve">, shall be deemed to be Principal Model Conversion Transactions) </w:t>
      </w:r>
      <w:r>
        <w:t xml:space="preserve">will </w:t>
      </w:r>
      <w:r w:rsidR="004E2C28">
        <w:t>cease to</w:t>
      </w:r>
      <w:r>
        <w:t xml:space="preserve"> be subject to the </w:t>
      </w:r>
      <w:r w:rsidR="00060FDE">
        <w:t>Principal Model</w:t>
      </w:r>
      <w:r>
        <w:t xml:space="preserve"> A</w:t>
      </w:r>
      <w:r w:rsidR="00A918B4">
        <w:t>greement</w:t>
      </w:r>
      <w:r w:rsidR="00CD1363">
        <w:t xml:space="preserve">; </w:t>
      </w:r>
    </w:p>
    <w:p w14:paraId="41B2E379" w14:textId="5721714E" w:rsidR="00BD7FA1" w:rsidRPr="004C0F61" w:rsidRDefault="00BD7FA1" w:rsidP="00623726">
      <w:pPr>
        <w:pStyle w:val="Level5"/>
      </w:pPr>
      <w:r>
        <w:t>the CCP service at which the Principal Model Conversion Transaction</w:t>
      </w:r>
      <w:r w:rsidR="005F4AC0">
        <w:t>s</w:t>
      </w:r>
      <w:r>
        <w:t xml:space="preserve"> are cleared shall become an Agreed CCP</w:t>
      </w:r>
      <w:r w:rsidR="00FB3B15">
        <w:t xml:space="preserve"> Service</w:t>
      </w:r>
      <w:r w:rsidR="00C43D4B">
        <w:t xml:space="preserve"> </w:t>
      </w:r>
      <w:r w:rsidR="00207D56">
        <w:t>for the purposes of this</w:t>
      </w:r>
      <w:r w:rsidR="004C0B8A" w:rsidRPr="004C0B8A">
        <w:t xml:space="preserve"> </w:t>
      </w:r>
      <w:r w:rsidR="004C0B8A">
        <w:t>Client Clearing</w:t>
      </w:r>
      <w:r w:rsidR="00207D56">
        <w:t xml:space="preserve"> Agreement </w:t>
      </w:r>
      <w:r w:rsidR="00C43D4B">
        <w:t xml:space="preserve">and </w:t>
      </w:r>
      <w:r w:rsidR="009F3C63">
        <w:t xml:space="preserve">the Parties shall procure that </w:t>
      </w:r>
      <w:r w:rsidR="005F4AC0">
        <w:t xml:space="preserve">no transactions are cleared by the Firm at that Agreed CCP Service pursuant to the Principal Model Agreement; </w:t>
      </w:r>
    </w:p>
    <w:p w14:paraId="1F69F629" w14:textId="0AF60382" w:rsidR="00CD1363" w:rsidRPr="004C0F61" w:rsidRDefault="00BD7FA1" w:rsidP="00623726">
      <w:pPr>
        <w:pStyle w:val="Level5"/>
      </w:pPr>
      <w:r>
        <w:lastRenderedPageBreak/>
        <w:t xml:space="preserve">the corresponding </w:t>
      </w:r>
      <w:r w:rsidR="00572BC8">
        <w:t xml:space="preserve">transaction between </w:t>
      </w:r>
      <w:r w:rsidR="009C6337">
        <w:t xml:space="preserve">the Firm and the </w:t>
      </w:r>
      <w:r w:rsidR="00642686">
        <w:t>Client</w:t>
      </w:r>
      <w:r w:rsidR="009C6337">
        <w:t xml:space="preserve"> under the Principal Model Agreement</w:t>
      </w:r>
      <w:r>
        <w:t xml:space="preserve"> shall terminate without any amount falling due from one Party to the other in connection with such termination; </w:t>
      </w:r>
      <w:bookmarkEnd w:id="22"/>
    </w:p>
    <w:p w14:paraId="40A32774" w14:textId="6F6A2B17" w:rsidR="00ED79BA" w:rsidRPr="004C0F61" w:rsidRDefault="00CD1363" w:rsidP="00623726">
      <w:pPr>
        <w:pStyle w:val="Level5"/>
      </w:pPr>
      <w:r>
        <w:t xml:space="preserve">the </w:t>
      </w:r>
      <w:r w:rsidR="004E2C28">
        <w:t>Principal Model Conversion Transaction</w:t>
      </w:r>
      <w:r w:rsidR="005F4AC0">
        <w:t>s</w:t>
      </w:r>
      <w:r w:rsidR="004E2C28">
        <w:t xml:space="preserve"> shall be Transactions for the purposes of th</w:t>
      </w:r>
      <w:r w:rsidR="00D9054B">
        <w:t>e</w:t>
      </w:r>
      <w:r w:rsidR="004E2C28">
        <w:t xml:space="preserve"> Agreement </w:t>
      </w:r>
      <w:r w:rsidR="0053151D">
        <w:t xml:space="preserve">and </w:t>
      </w:r>
      <w:r w:rsidR="004E2C28">
        <w:t xml:space="preserve">the Firm shall procure </w:t>
      </w:r>
      <w:r w:rsidR="001E6426">
        <w:t>that</w:t>
      </w:r>
      <w:r w:rsidR="00F939B7">
        <w:t>:</w:t>
      </w:r>
      <w:r w:rsidR="004E2C28">
        <w:t xml:space="preserve"> </w:t>
      </w:r>
      <w:r w:rsidR="00BB586F">
        <w:t xml:space="preserve">(I) </w:t>
      </w:r>
      <w:r w:rsidR="004E2C28">
        <w:t xml:space="preserve">such Principal Model Conversion Transactions </w:t>
      </w:r>
      <w:r w:rsidR="001E6426">
        <w:t xml:space="preserve">are recorded </w:t>
      </w:r>
      <w:r w:rsidR="004E2C28">
        <w:t>to</w:t>
      </w:r>
      <w:r>
        <w:t xml:space="preserve"> the relevant </w:t>
      </w:r>
      <w:r w:rsidR="003333CE">
        <w:t>Segregated</w:t>
      </w:r>
      <w:r w:rsidR="00F6146C">
        <w:t xml:space="preserve"> </w:t>
      </w:r>
      <w:r w:rsidR="00207D56">
        <w:t>Account</w:t>
      </w:r>
      <w:r w:rsidR="00F939B7">
        <w:t>;</w:t>
      </w:r>
      <w:r w:rsidR="00207D56">
        <w:t xml:space="preserve"> </w:t>
      </w:r>
      <w:r w:rsidR="004E2C28">
        <w:t xml:space="preserve">and </w:t>
      </w:r>
      <w:r w:rsidR="00BB586F">
        <w:t xml:space="preserve">(II) </w:t>
      </w:r>
      <w:r w:rsidR="004E2C28">
        <w:t>such Transaction</w:t>
      </w:r>
      <w:r w:rsidR="005F4AC0">
        <w:t>s</w:t>
      </w:r>
      <w:r w:rsidR="004E2C28">
        <w:t xml:space="preserve"> shall be </w:t>
      </w:r>
      <w:r>
        <w:t>held pursuant to</w:t>
      </w:r>
      <w:r w:rsidR="00A21333">
        <w:t>, and in accordance with,</w:t>
      </w:r>
      <w:r w:rsidR="00C01124">
        <w:t xml:space="preserve"> the </w:t>
      </w:r>
      <w:r w:rsidR="00993ACC">
        <w:t>Segregated Asset</w:t>
      </w:r>
      <w:r w:rsidR="00094A99">
        <w:t xml:space="preserve"> Terms</w:t>
      </w:r>
      <w:r w:rsidR="00C01124">
        <w:t xml:space="preserve"> </w:t>
      </w:r>
      <w:r w:rsidR="0053151D">
        <w:t>in accordance with</w:t>
      </w:r>
      <w:r w:rsidR="00C01124">
        <w:t xml:space="preserve"> </w:t>
      </w:r>
      <w:r>
        <w:t>clause</w:t>
      </w:r>
      <w:r w:rsidR="00552764">
        <w:t xml:space="preserve"> </w:t>
      </w:r>
      <w:r w:rsidR="00552764">
        <w:fldChar w:fldCharType="begin" w:fldLock="1"/>
      </w:r>
      <w:r w:rsidR="00552764">
        <w:instrText xml:space="preserve"> REF _Ref133067330 \r \h </w:instrText>
      </w:r>
      <w:r w:rsidR="00552764">
        <w:fldChar w:fldCharType="separate"/>
      </w:r>
      <w:r w:rsidR="009646BC">
        <w:t>3.1</w:t>
      </w:r>
      <w:r w:rsidR="00552764">
        <w:fldChar w:fldCharType="end"/>
      </w:r>
      <w:r w:rsidR="00552764">
        <w:t xml:space="preserve"> </w:t>
      </w:r>
      <w:r>
        <w:t>(</w:t>
      </w:r>
      <w:r>
        <w:rPr>
          <w:i/>
          <w:iCs/>
        </w:rPr>
        <w:t>General</w:t>
      </w:r>
      <w:r w:rsidR="00ED79BA">
        <w:t>)</w:t>
      </w:r>
      <w:r w:rsidR="00BD7FA1">
        <w:t xml:space="preserve">; and </w:t>
      </w:r>
    </w:p>
    <w:p w14:paraId="3E2E261C" w14:textId="037C3DC1" w:rsidR="00BD7FA1" w:rsidRPr="004C0F61" w:rsidRDefault="00BD7FA1" w:rsidP="00623726">
      <w:pPr>
        <w:pStyle w:val="Level5"/>
      </w:pPr>
      <w:r>
        <w:t xml:space="preserve">all Principal Model </w:t>
      </w:r>
      <w:r w:rsidR="00A9791F">
        <w:t xml:space="preserve">Margin </w:t>
      </w:r>
      <w:r w:rsidR="00931E4C">
        <w:t>held</w:t>
      </w:r>
      <w:r w:rsidR="00A76CA8">
        <w:t xml:space="preserve"> </w:t>
      </w:r>
      <w:r w:rsidR="00931E4C">
        <w:t>by either Party</w:t>
      </w:r>
      <w:r w:rsidR="00213FA8">
        <w:t xml:space="preserve"> (or transferred to that </w:t>
      </w:r>
      <w:r w:rsidR="00BA59B6">
        <w:t xml:space="preserve">Party </w:t>
      </w:r>
      <w:r w:rsidR="00213FA8">
        <w:t>and not returned)</w:t>
      </w:r>
      <w:r w:rsidR="001B3A0A">
        <w:t xml:space="preserve"> </w:t>
      </w:r>
      <w:r>
        <w:t xml:space="preserve">in respect of Principal Model Conversion Transactions shall be deemed to have been returned to the </w:t>
      </w:r>
      <w:r w:rsidR="00931E4C">
        <w:t>other Party</w:t>
      </w:r>
      <w:r w:rsidR="00FB3B15">
        <w:t xml:space="preserve"> </w:t>
      </w:r>
      <w:r>
        <w:t xml:space="preserve">under the terms of the Principal Model Agreement and contemporaneously redelivered by the </w:t>
      </w:r>
      <w:r w:rsidR="00931E4C">
        <w:t xml:space="preserve">receiving Party to the returning Party as </w:t>
      </w:r>
      <w:r w:rsidR="004566AD">
        <w:t>Title Transfer Assets</w:t>
      </w:r>
      <w:r w:rsidR="00931E4C">
        <w:t xml:space="preserve"> in respect of the same Transactions under, and in accordance with, the Title Transfer Provisions</w:t>
      </w:r>
      <w:r w:rsidR="00FB3B15">
        <w:t>,</w:t>
      </w:r>
    </w:p>
    <w:p w14:paraId="42CF2BD3" w14:textId="175637F6" w:rsidR="00ED79BA" w:rsidRPr="00ED79BA" w:rsidRDefault="00ED79BA" w:rsidP="00ED79BA">
      <w:pPr>
        <w:pStyle w:val="Level5"/>
        <w:numPr>
          <w:ilvl w:val="0"/>
          <w:numId w:val="0"/>
        </w:numPr>
        <w:ind w:left="2041"/>
        <w:rPr>
          <w:b/>
          <w:bCs/>
          <w:i/>
          <w:iCs/>
        </w:rPr>
      </w:pPr>
      <w:r>
        <w:t>(a “</w:t>
      </w:r>
      <w:r w:rsidR="00060FDE">
        <w:rPr>
          <w:b/>
          <w:bCs/>
        </w:rPr>
        <w:t>Principal Model</w:t>
      </w:r>
      <w:r>
        <w:rPr>
          <w:b/>
          <w:bCs/>
        </w:rPr>
        <w:t xml:space="preserve"> Conversion</w:t>
      </w:r>
      <w:r>
        <w:t>”)</w:t>
      </w:r>
      <w:r w:rsidR="00FA0E9D">
        <w:t xml:space="preserve">. The Firm shall promptly following a </w:t>
      </w:r>
      <w:r w:rsidR="00060FDE">
        <w:t>Principal Model</w:t>
      </w:r>
      <w:r w:rsidR="00FA0E9D">
        <w:t xml:space="preserve"> Conversion update its books and records to reflect such </w:t>
      </w:r>
      <w:r w:rsidR="00060FDE">
        <w:t>Principal Model</w:t>
      </w:r>
      <w:r w:rsidR="00FA0E9D">
        <w:t xml:space="preserve"> Conversion</w:t>
      </w:r>
      <w:r w:rsidR="00FA0E9D" w:rsidRPr="00BF0364">
        <w:t>.</w:t>
      </w:r>
      <w:r w:rsidR="00FA0E9D">
        <w:t xml:space="preserve"> </w:t>
      </w:r>
    </w:p>
    <w:p w14:paraId="54F6FCB9" w14:textId="54D1A29F" w:rsidR="00293CB5" w:rsidRPr="00BF635D" w:rsidRDefault="00293CB5" w:rsidP="00CB2A0A">
      <w:pPr>
        <w:pStyle w:val="Level3"/>
      </w:pPr>
      <w:bookmarkStart w:id="23" w:name="_Ref133075708"/>
      <w:r>
        <w:rPr>
          <w:b/>
          <w:bCs/>
          <w:i/>
          <w:iCs/>
        </w:rPr>
        <w:t xml:space="preserve">Conversion </w:t>
      </w:r>
      <w:r w:rsidR="00FA0E9D">
        <w:rPr>
          <w:b/>
          <w:bCs/>
          <w:i/>
          <w:iCs/>
        </w:rPr>
        <w:t xml:space="preserve">to </w:t>
      </w:r>
      <w:r w:rsidR="00060FDE">
        <w:rPr>
          <w:b/>
          <w:bCs/>
          <w:i/>
          <w:iCs/>
        </w:rPr>
        <w:t>Principal Model</w:t>
      </w:r>
      <w:r w:rsidR="00FA0E9D">
        <w:rPr>
          <w:b/>
          <w:bCs/>
          <w:i/>
          <w:iCs/>
        </w:rPr>
        <w:t xml:space="preserve"> Agreement</w:t>
      </w:r>
      <w:bookmarkEnd w:id="23"/>
      <w:r>
        <w:rPr>
          <w:b/>
          <w:bCs/>
          <w:i/>
          <w:iCs/>
        </w:rPr>
        <w:t xml:space="preserve"> </w:t>
      </w:r>
    </w:p>
    <w:p w14:paraId="61AC59F0" w14:textId="0EB3CA1C" w:rsidR="00BF635D" w:rsidRPr="00BF635D" w:rsidRDefault="00BF635D" w:rsidP="001A0472">
      <w:pPr>
        <w:pStyle w:val="Level4"/>
      </w:pPr>
      <w:bookmarkStart w:id="24" w:name="_Ref133075282"/>
      <w:r w:rsidRPr="00BF635D">
        <w:t xml:space="preserve">The </w:t>
      </w:r>
      <w:r>
        <w:t xml:space="preserve">Firm </w:t>
      </w:r>
      <w:r w:rsidRPr="00BF635D">
        <w:t>may</w:t>
      </w:r>
      <w:r w:rsidR="00F318A7">
        <w:t>, by notice in writing to the Client (or otherwise by way of agreement with the Client</w:t>
      </w:r>
      <w:r w:rsidR="005C174C">
        <w:t xml:space="preserve"> or </w:t>
      </w:r>
      <w:r w:rsidR="003A0DFF">
        <w:t xml:space="preserve">at the request of the Client subject to the </w:t>
      </w:r>
      <w:r w:rsidR="005C174C">
        <w:t>prior written consent of the Firm</w:t>
      </w:r>
      <w:r w:rsidR="00F318A7">
        <w:t>)</w:t>
      </w:r>
      <w:r w:rsidR="00DC757C">
        <w:t xml:space="preserve"> provid</w:t>
      </w:r>
      <w:r w:rsidR="005A0D87">
        <w:t xml:space="preserve">e, </w:t>
      </w:r>
      <w:r w:rsidRPr="00BF635D">
        <w:t xml:space="preserve">that </w:t>
      </w:r>
      <w:r w:rsidR="005C174C">
        <w:t xml:space="preserve">each </w:t>
      </w:r>
      <w:r w:rsidR="004C1793">
        <w:t>T</w:t>
      </w:r>
      <w:r w:rsidRPr="00BF635D">
        <w:t xml:space="preserve">ransaction cleared by the Firm </w:t>
      </w:r>
      <w:r w:rsidRPr="007611DB">
        <w:t>on</w:t>
      </w:r>
      <w:r w:rsidRPr="00BF635D">
        <w:t xml:space="preserve"> behalf of the Client pursuant to </w:t>
      </w:r>
      <w:r w:rsidR="009722E2">
        <w:t xml:space="preserve">this </w:t>
      </w:r>
      <w:r w:rsidR="004C0B8A">
        <w:t xml:space="preserve">Client Clearing </w:t>
      </w:r>
      <w:r w:rsidR="009722E2">
        <w:t>Agreement</w:t>
      </w:r>
      <w:r w:rsidRPr="00BF635D">
        <w:t xml:space="preserve"> </w:t>
      </w:r>
      <w:r w:rsidR="005C174C">
        <w:t>that forms part of a</w:t>
      </w:r>
      <w:r w:rsidR="004D04D7">
        <w:t>n</w:t>
      </w:r>
      <w:r w:rsidR="005C174C">
        <w:t xml:space="preserve"> </w:t>
      </w:r>
      <w:r w:rsidR="00272180">
        <w:t>EATM</w:t>
      </w:r>
      <w:r w:rsidR="005C174C">
        <w:t xml:space="preserve"> Conversion Set </w:t>
      </w:r>
      <w:r w:rsidR="004C1793">
        <w:t>(each</w:t>
      </w:r>
      <w:r w:rsidR="005C174C">
        <w:t xml:space="preserve"> such Transaction</w:t>
      </w:r>
      <w:r w:rsidR="004C1793">
        <w:t>, a</w:t>
      </w:r>
      <w:r w:rsidR="00272180">
        <w:t>n</w:t>
      </w:r>
      <w:r w:rsidR="004C1793">
        <w:t xml:space="preserve"> “</w:t>
      </w:r>
      <w:r w:rsidR="00272180">
        <w:rPr>
          <w:b/>
          <w:bCs/>
        </w:rPr>
        <w:t>EATM</w:t>
      </w:r>
      <w:r w:rsidR="004C1793">
        <w:rPr>
          <w:b/>
          <w:bCs/>
        </w:rPr>
        <w:t xml:space="preserve"> Conversion </w:t>
      </w:r>
      <w:r w:rsidR="004C1793" w:rsidRPr="007611DB">
        <w:rPr>
          <w:b/>
          <w:bCs/>
        </w:rPr>
        <w:t>Transaction</w:t>
      </w:r>
      <w:r w:rsidR="004C1793">
        <w:t xml:space="preserve">”) </w:t>
      </w:r>
      <w:r w:rsidR="00410A66">
        <w:t>shall be</w:t>
      </w:r>
      <w:r w:rsidR="00410A66" w:rsidRPr="00BF635D">
        <w:t xml:space="preserve"> </w:t>
      </w:r>
      <w:r w:rsidRPr="00BF635D">
        <w:t xml:space="preserve">cleared by the Firm pursuant </w:t>
      </w:r>
      <w:r w:rsidR="009722E2">
        <w:t xml:space="preserve">to </w:t>
      </w:r>
      <w:r w:rsidR="00FB3B15">
        <w:t>a</w:t>
      </w:r>
      <w:r w:rsidR="009722E2">
        <w:t xml:space="preserve"> </w:t>
      </w:r>
      <w:r w:rsidR="00060FDE">
        <w:t>Principal Model</w:t>
      </w:r>
      <w:r w:rsidR="009722E2">
        <w:t xml:space="preserve"> A</w:t>
      </w:r>
      <w:r w:rsidR="00A918B4">
        <w:t>greement</w:t>
      </w:r>
      <w:r w:rsidR="00314FDA">
        <w:t xml:space="preserve"> </w:t>
      </w:r>
      <w:r w:rsidR="00A17843">
        <w:t>between the Firm and the Client</w:t>
      </w:r>
      <w:r w:rsidRPr="00BF635D">
        <w:t>.</w:t>
      </w:r>
      <w:bookmarkEnd w:id="24"/>
      <w:r w:rsidRPr="00BF635D">
        <w:t xml:space="preserve"> </w:t>
      </w:r>
    </w:p>
    <w:p w14:paraId="47FFF9AB" w14:textId="620F966C" w:rsidR="00BF635D" w:rsidRDefault="00020965" w:rsidP="001A0472">
      <w:pPr>
        <w:pStyle w:val="Level4"/>
      </w:pPr>
      <w:bookmarkStart w:id="25" w:name="_Ref133075544"/>
      <w:r>
        <w:t>A</w:t>
      </w:r>
      <w:r w:rsidR="00314FDA">
        <w:t xml:space="preserve">t the </w:t>
      </w:r>
      <w:r w:rsidR="00272180">
        <w:t>EATM</w:t>
      </w:r>
      <w:r w:rsidR="00314FDA">
        <w:t xml:space="preserve"> Conversion Time:</w:t>
      </w:r>
      <w:bookmarkEnd w:id="25"/>
    </w:p>
    <w:p w14:paraId="75363177" w14:textId="74123AE5" w:rsidR="00314FDA" w:rsidRDefault="00314FDA" w:rsidP="0042645A">
      <w:pPr>
        <w:pStyle w:val="Level5"/>
      </w:pPr>
      <w:bookmarkStart w:id="26" w:name="_Ref133075396"/>
      <w:r>
        <w:t xml:space="preserve">the </w:t>
      </w:r>
      <w:r w:rsidR="00272180">
        <w:t>EATM</w:t>
      </w:r>
      <w:r w:rsidR="00DC757C">
        <w:t xml:space="preserve"> Conversion Transactions </w:t>
      </w:r>
      <w:r w:rsidR="00207D56">
        <w:t xml:space="preserve">forming part of the relevant </w:t>
      </w:r>
      <w:r w:rsidR="00272180">
        <w:t>EATM</w:t>
      </w:r>
      <w:r w:rsidR="00207D56">
        <w:t xml:space="preserve"> Conversion Set </w:t>
      </w:r>
      <w:r w:rsidR="00DC757C">
        <w:t>w</w:t>
      </w:r>
      <w:r>
        <w:t>ill</w:t>
      </w:r>
      <w:r w:rsidR="0042645A">
        <w:t>: (I)</w:t>
      </w:r>
      <w:r>
        <w:t xml:space="preserve"> cease to </w:t>
      </w:r>
      <w:r w:rsidR="00327607">
        <w:t xml:space="preserve">be </w:t>
      </w:r>
      <w:r w:rsidR="0042645A">
        <w:t xml:space="preserve">Transactions for the purposes of </w:t>
      </w:r>
      <w:r w:rsidR="00DC757C">
        <w:t>th</w:t>
      </w:r>
      <w:r w:rsidR="00110BF5">
        <w:t>e</w:t>
      </w:r>
      <w:r w:rsidR="00DC757C">
        <w:t xml:space="preserve"> Agreement</w:t>
      </w:r>
      <w:r w:rsidR="0042645A">
        <w:t xml:space="preserve">; and (II) cease to be </w:t>
      </w:r>
      <w:r>
        <w:t xml:space="preserve">held by the Firm </w:t>
      </w:r>
      <w:r w:rsidR="00093800">
        <w:t>pursuant to</w:t>
      </w:r>
      <w:r w:rsidR="00A21333">
        <w:t>, and in accordance with,</w:t>
      </w:r>
      <w:r w:rsidR="00093800">
        <w:t xml:space="preserve"> the </w:t>
      </w:r>
      <w:r w:rsidR="00993ACC">
        <w:t>Segregated Asset</w:t>
      </w:r>
      <w:r w:rsidR="00094A99">
        <w:t xml:space="preserve"> Terms</w:t>
      </w:r>
      <w:r w:rsidR="00093800">
        <w:t xml:space="preserve"> </w:t>
      </w:r>
      <w:r w:rsidR="00776B22">
        <w:t>and the Client</w:t>
      </w:r>
      <w:r w:rsidR="00093800">
        <w:t xml:space="preserve">, accordingly, irrevocably and unconditionally relinquishes, releases, waives and discharges all of its rights, title and interests </w:t>
      </w:r>
      <w:r w:rsidR="00596609">
        <w:t>with respect</w:t>
      </w:r>
      <w:r w:rsidR="00093800">
        <w:t xml:space="preserve"> to</w:t>
      </w:r>
      <w:r w:rsidR="00776B22">
        <w:t xml:space="preserve"> the </w:t>
      </w:r>
      <w:r w:rsidR="00FA33F9">
        <w:t>Segregated</w:t>
      </w:r>
      <w:r w:rsidR="00094A99">
        <w:t xml:space="preserve"> Assets</w:t>
      </w:r>
      <w:r w:rsidR="00547C2A">
        <w:t>,</w:t>
      </w:r>
      <w:r w:rsidR="00C54783" w:rsidRPr="000540DA">
        <w:t xml:space="preserve"> and</w:t>
      </w:r>
      <w:r w:rsidR="00C54783">
        <w:t xml:space="preserve"> that otherwise arise pursuant to the </w:t>
      </w:r>
      <w:r w:rsidR="00993ACC">
        <w:t>Segregated Asset</w:t>
      </w:r>
      <w:r w:rsidR="00094A99">
        <w:t xml:space="preserve"> Terms</w:t>
      </w:r>
      <w:r w:rsidR="00BE5724">
        <w:t>, insofar as they relate</w:t>
      </w:r>
      <w:r w:rsidR="0058020C">
        <w:t xml:space="preserve"> to the </w:t>
      </w:r>
      <w:r w:rsidR="00272180">
        <w:t>EATM</w:t>
      </w:r>
      <w:r w:rsidR="0042645A">
        <w:t xml:space="preserve"> Conversion Transactions</w:t>
      </w:r>
      <w:r w:rsidR="00093800">
        <w:t>;</w:t>
      </w:r>
      <w:bookmarkEnd w:id="26"/>
    </w:p>
    <w:p w14:paraId="18F26236" w14:textId="033A33B7" w:rsidR="00720D60" w:rsidRDefault="00720D60" w:rsidP="0042645A">
      <w:pPr>
        <w:pStyle w:val="Level5"/>
      </w:pPr>
      <w:r>
        <w:t xml:space="preserve">the CCP service at which the </w:t>
      </w:r>
      <w:r w:rsidR="00272180">
        <w:t>EATM</w:t>
      </w:r>
      <w:r>
        <w:t xml:space="preserve"> Conversion Transactions are cleared shall cease to be an Agreed CCP Service</w:t>
      </w:r>
      <w:r w:rsidR="00207D56">
        <w:t xml:space="preserve"> for the purposes of this </w:t>
      </w:r>
      <w:r w:rsidR="005A76E2">
        <w:t xml:space="preserve">Client Clearing </w:t>
      </w:r>
      <w:r w:rsidR="00207D56">
        <w:t>Agreement</w:t>
      </w:r>
      <w:r>
        <w:t xml:space="preserve">; </w:t>
      </w:r>
    </w:p>
    <w:p w14:paraId="474003B4" w14:textId="053C10BC" w:rsidR="00720D60" w:rsidRDefault="0042645A" w:rsidP="00720D60">
      <w:pPr>
        <w:pStyle w:val="Level5"/>
      </w:pPr>
      <w:bookmarkStart w:id="27" w:name="_Ref134535544"/>
      <w:r>
        <w:lastRenderedPageBreak/>
        <w:t xml:space="preserve">the Firm shall procure the transfer of the </w:t>
      </w:r>
      <w:r w:rsidR="00272180">
        <w:t>EATM</w:t>
      </w:r>
      <w:r>
        <w:t xml:space="preserve"> Conversion Transactions </w:t>
      </w:r>
      <w:r w:rsidR="00093800">
        <w:t xml:space="preserve">from the </w:t>
      </w:r>
      <w:r w:rsidR="003333CE">
        <w:t>Segregated</w:t>
      </w:r>
      <w:r w:rsidR="00BE5724">
        <w:t xml:space="preserve"> </w:t>
      </w:r>
      <w:r w:rsidR="00207D56">
        <w:t xml:space="preserve">Account </w:t>
      </w:r>
      <w:r w:rsidR="00093800">
        <w:t xml:space="preserve">to which they are recorded to the account(s) identified in the </w:t>
      </w:r>
      <w:r>
        <w:t>Principal Model Agreement</w:t>
      </w:r>
      <w:r w:rsidR="00FB3B15">
        <w:t xml:space="preserve">; </w:t>
      </w:r>
      <w:bookmarkEnd w:id="27"/>
    </w:p>
    <w:p w14:paraId="6ADB6F07" w14:textId="4EB5B437" w:rsidR="00FB3B15" w:rsidRDefault="00FB3B15" w:rsidP="00623726">
      <w:pPr>
        <w:pStyle w:val="Level5"/>
      </w:pPr>
      <w:r>
        <w:t xml:space="preserve">the </w:t>
      </w:r>
      <w:r w:rsidR="00272180">
        <w:t>EATM</w:t>
      </w:r>
      <w:r>
        <w:t xml:space="preserve"> Conversion Transactions shall be governed by the Principal Model Agreement such that on the transfer of the </w:t>
      </w:r>
      <w:r w:rsidR="00272180">
        <w:t>EATM</w:t>
      </w:r>
      <w:r>
        <w:t xml:space="preserve"> Conversion Transactions as described in paragraph </w:t>
      </w:r>
      <w:r>
        <w:fldChar w:fldCharType="begin" w:fldLock="1"/>
      </w:r>
      <w:r>
        <w:instrText xml:space="preserve"> REF _Ref134535544 \r \h </w:instrText>
      </w:r>
      <w:r>
        <w:fldChar w:fldCharType="separate"/>
      </w:r>
      <w:r w:rsidR="009646BC">
        <w:t>(c)</w:t>
      </w:r>
      <w:r>
        <w:fldChar w:fldCharType="end"/>
      </w:r>
      <w:r w:rsidR="00456039">
        <w:t xml:space="preserve"> above</w:t>
      </w:r>
      <w:r>
        <w:t>: (</w:t>
      </w:r>
      <w:r w:rsidR="00F939B7">
        <w:t>I</w:t>
      </w:r>
      <w:r>
        <w:t xml:space="preserve">) such </w:t>
      </w:r>
      <w:r w:rsidR="00272180">
        <w:t>EATM</w:t>
      </w:r>
      <w:r>
        <w:t xml:space="preserve"> Conversion Transactions shall be </w:t>
      </w:r>
      <w:r w:rsidR="00BF2637">
        <w:t xml:space="preserve">Principal Model </w:t>
      </w:r>
      <w:r>
        <w:t>Firm/CCP Transactions for the purposes of the Principal Model Agreement;</w:t>
      </w:r>
      <w:r w:rsidR="00073FFC">
        <w:t xml:space="preserve"> and</w:t>
      </w:r>
      <w:r>
        <w:t xml:space="preserve"> (</w:t>
      </w:r>
      <w:r w:rsidR="00F939B7">
        <w:t>II</w:t>
      </w:r>
      <w:r>
        <w:t>) transaction</w:t>
      </w:r>
      <w:r w:rsidR="00720D60">
        <w:t>s</w:t>
      </w:r>
      <w:r>
        <w:t xml:space="preserve"> shall arise between the Firm and the Client with terms and obligations that are identical to those of the related </w:t>
      </w:r>
      <w:r w:rsidR="00BF2637">
        <w:t xml:space="preserve">Principal Model </w:t>
      </w:r>
      <w:r>
        <w:t>Firm/CCP Transaction</w:t>
      </w:r>
      <w:r w:rsidR="00720D60">
        <w:t>s</w:t>
      </w:r>
      <w:r>
        <w:t>, subject to</w:t>
      </w:r>
      <w:r w:rsidR="00720D60">
        <w:t>, and in accordance with,</w:t>
      </w:r>
      <w:r>
        <w:t xml:space="preserve"> the provisions of the Principal Model Agreement; and </w:t>
      </w:r>
    </w:p>
    <w:p w14:paraId="4D204F1E" w14:textId="18B3E191" w:rsidR="00FB3B15" w:rsidRDefault="002B21C4" w:rsidP="00623726">
      <w:pPr>
        <w:pStyle w:val="Level5"/>
      </w:pPr>
      <w:r>
        <w:t xml:space="preserve">the </w:t>
      </w:r>
      <w:r w:rsidR="00EA367F" w:rsidRPr="008F0B07">
        <w:t>Title Transfer Balance</w:t>
      </w:r>
      <w:r w:rsidR="001B3A0A">
        <w:t xml:space="preserve"> </w:t>
      </w:r>
      <w:r w:rsidR="00FB3B15">
        <w:t xml:space="preserve">in respect of the </w:t>
      </w:r>
      <w:r w:rsidR="00272180">
        <w:t>EATM</w:t>
      </w:r>
      <w:r w:rsidR="00073FFC">
        <w:t xml:space="preserve"> Conversion Transactions </w:t>
      </w:r>
      <w:r w:rsidR="00073FFC" w:rsidRPr="00073FFC">
        <w:t xml:space="preserve">shall be deemed to have been </w:t>
      </w:r>
      <w:r w:rsidR="00E12DDE">
        <w:t>delivered</w:t>
      </w:r>
      <w:r w:rsidR="00E12DDE" w:rsidRPr="00073FFC">
        <w:t xml:space="preserve"> </w:t>
      </w:r>
      <w:r w:rsidR="00073FFC" w:rsidRPr="00073FFC">
        <w:t>to the Client</w:t>
      </w:r>
      <w:r w:rsidR="00073FFC">
        <w:t xml:space="preserve"> and</w:t>
      </w:r>
      <w:r w:rsidR="00073FFC" w:rsidRPr="00073FFC">
        <w:t xml:space="preserve"> contemporaneously redelivered by the Client to the Firm</w:t>
      </w:r>
      <w:r w:rsidR="00073FFC">
        <w:t xml:space="preserve"> in accordance with the Principal Model Agreement</w:t>
      </w:r>
      <w:r w:rsidR="00073FFC" w:rsidRPr="00073FFC">
        <w:t>,</w:t>
      </w:r>
    </w:p>
    <w:p w14:paraId="13408C0C" w14:textId="2B134C8D" w:rsidR="00C54783" w:rsidRDefault="00C54783" w:rsidP="00C54783">
      <w:pPr>
        <w:pStyle w:val="Level5"/>
        <w:numPr>
          <w:ilvl w:val="0"/>
          <w:numId w:val="0"/>
        </w:numPr>
        <w:ind w:left="2041"/>
      </w:pPr>
      <w:r>
        <w:t>(a</w:t>
      </w:r>
      <w:r w:rsidR="00272180">
        <w:t>n</w:t>
      </w:r>
      <w:r>
        <w:t xml:space="preserve"> “</w:t>
      </w:r>
      <w:r w:rsidR="00272180">
        <w:rPr>
          <w:b/>
          <w:bCs/>
        </w:rPr>
        <w:t>EATM</w:t>
      </w:r>
      <w:r>
        <w:rPr>
          <w:b/>
          <w:bCs/>
        </w:rPr>
        <w:t xml:space="preserve"> Conversion</w:t>
      </w:r>
      <w:r>
        <w:t>”)</w:t>
      </w:r>
      <w:r w:rsidR="00FA0E9D">
        <w:t>. The Firm shall promptly following a</w:t>
      </w:r>
      <w:r w:rsidR="00272180">
        <w:t>n</w:t>
      </w:r>
      <w:r w:rsidR="00FA0E9D">
        <w:t xml:space="preserve"> </w:t>
      </w:r>
      <w:r w:rsidR="00272180">
        <w:t>EATM</w:t>
      </w:r>
      <w:r w:rsidR="00FA0E9D">
        <w:t xml:space="preserve"> Conversion update its books and records to reflect such </w:t>
      </w:r>
      <w:r w:rsidR="00272180">
        <w:t>EATM</w:t>
      </w:r>
      <w:r w:rsidR="00FA0E9D">
        <w:t xml:space="preserve"> Conversion.</w:t>
      </w:r>
    </w:p>
    <w:p w14:paraId="6A258225" w14:textId="52779154" w:rsidR="0009502E" w:rsidRPr="001A6624" w:rsidRDefault="00FA1F8F" w:rsidP="001A6624">
      <w:pPr>
        <w:pStyle w:val="Level2"/>
        <w:rPr>
          <w:b/>
          <w:bCs/>
          <w:i/>
          <w:iCs/>
        </w:rPr>
      </w:pPr>
      <w:r w:rsidRPr="005C7F8F">
        <w:rPr>
          <w:b/>
          <w:bCs/>
          <w:i/>
          <w:iCs/>
        </w:rPr>
        <w:t xml:space="preserve">Transferred transactions: </w:t>
      </w:r>
      <w:r w:rsidRPr="00C17850">
        <w:t xml:space="preserve">If a transaction for the account of the Client at an Agreed CCP which has previously been cleared by another clearing member of an Agreed CCP is transferred to a </w:t>
      </w:r>
      <w:r w:rsidR="003333CE">
        <w:t>Segregated</w:t>
      </w:r>
      <w:r w:rsidRPr="00C17850">
        <w:t xml:space="preserve"> Account of the Firm, then, provided that transaction is a Clearing Eligible Trade, on the </w:t>
      </w:r>
      <w:r w:rsidR="00934D3D">
        <w:t>recording</w:t>
      </w:r>
      <w:r w:rsidR="00934D3D" w:rsidRPr="00C17850">
        <w:t xml:space="preserve"> </w:t>
      </w:r>
      <w:r w:rsidRPr="00C17850">
        <w:t xml:space="preserve">of the Transaction to such </w:t>
      </w:r>
      <w:r w:rsidR="003333CE">
        <w:t>Segregated</w:t>
      </w:r>
      <w:r w:rsidRPr="00C17850">
        <w:t xml:space="preserve"> Account, that Transaction will be held by the Firm pursuant to, and in accordance with, the </w:t>
      </w:r>
      <w:r w:rsidR="00993ACC">
        <w:t>Segregated Asset</w:t>
      </w:r>
      <w:r w:rsidRPr="00C17850">
        <w:t xml:space="preserve"> Terms in accordance with clause</w:t>
      </w:r>
      <w:r w:rsidR="00552764">
        <w:t xml:space="preserve"> </w:t>
      </w:r>
      <w:r w:rsidR="00552764">
        <w:fldChar w:fldCharType="begin" w:fldLock="1"/>
      </w:r>
      <w:r w:rsidR="00552764">
        <w:instrText xml:space="preserve"> REF _Ref133067330 \r \h </w:instrText>
      </w:r>
      <w:r w:rsidR="00552764">
        <w:fldChar w:fldCharType="separate"/>
      </w:r>
      <w:r w:rsidR="009646BC">
        <w:t>3.1</w:t>
      </w:r>
      <w:r w:rsidR="00552764">
        <w:fldChar w:fldCharType="end"/>
      </w:r>
      <w:r w:rsidR="00552764">
        <w:t xml:space="preserve"> </w:t>
      </w:r>
      <w:r w:rsidR="00F50E4C">
        <w:t>(</w:t>
      </w:r>
      <w:r w:rsidRPr="00C17850">
        <w:rPr>
          <w:i/>
          <w:iCs/>
        </w:rPr>
        <w:t>General</w:t>
      </w:r>
      <w:r w:rsidRPr="00C17850">
        <w:t>).</w:t>
      </w:r>
    </w:p>
    <w:p w14:paraId="465FAB15" w14:textId="54F6D551" w:rsidR="007A6BC3" w:rsidRDefault="007A6BC3" w:rsidP="00623726">
      <w:pPr>
        <w:pStyle w:val="Level1"/>
      </w:pPr>
      <w:bookmarkStart w:id="28" w:name="_Ref134560197"/>
      <w:r>
        <w:t>PORTING</w:t>
      </w:r>
      <w:bookmarkEnd w:id="28"/>
      <w:r w:rsidR="002070AD">
        <w:rPr>
          <w:rStyle w:val="FootnoteReference"/>
        </w:rPr>
        <w:footnoteReference w:id="8"/>
      </w:r>
    </w:p>
    <w:p w14:paraId="44C26727" w14:textId="75AD3A0C" w:rsidR="007A6BC3" w:rsidRDefault="007A6BC3" w:rsidP="00751E31">
      <w:pPr>
        <w:pStyle w:val="Level2"/>
      </w:pPr>
      <w:bookmarkStart w:id="29" w:name="_Ref134018680"/>
      <w:r w:rsidRPr="007A6BC3">
        <w:rPr>
          <w:b/>
          <w:bCs/>
          <w:i/>
          <w:iCs/>
        </w:rPr>
        <w:t xml:space="preserve">Transfer of </w:t>
      </w:r>
      <w:r w:rsidR="000E0740">
        <w:rPr>
          <w:b/>
          <w:bCs/>
          <w:i/>
          <w:iCs/>
        </w:rPr>
        <w:t>p</w:t>
      </w:r>
      <w:r w:rsidRPr="007A6BC3">
        <w:rPr>
          <w:b/>
          <w:bCs/>
          <w:i/>
          <w:iCs/>
        </w:rPr>
        <w:t xml:space="preserve">ositions in the </w:t>
      </w:r>
      <w:r w:rsidR="000E0740" w:rsidRPr="007A6BC3">
        <w:rPr>
          <w:b/>
          <w:bCs/>
          <w:i/>
          <w:iCs/>
        </w:rPr>
        <w:t xml:space="preserve">absence </w:t>
      </w:r>
      <w:r w:rsidRPr="007A6BC3">
        <w:rPr>
          <w:b/>
          <w:bCs/>
          <w:i/>
          <w:iCs/>
        </w:rPr>
        <w:t xml:space="preserve">of </w:t>
      </w:r>
      <w:r w:rsidR="000B359F">
        <w:rPr>
          <w:b/>
          <w:bCs/>
          <w:i/>
          <w:iCs/>
        </w:rPr>
        <w:t>d</w:t>
      </w:r>
      <w:r w:rsidRPr="007A6BC3">
        <w:rPr>
          <w:b/>
          <w:bCs/>
          <w:i/>
          <w:iCs/>
        </w:rPr>
        <w:t>efault:</w:t>
      </w:r>
      <w:r>
        <w:t xml:space="preserve"> Subject to Applicable Regulations, the Client may request by notice in writing to the Firm that the Firm transfers </w:t>
      </w:r>
      <w:r w:rsidR="00B03D70">
        <w:t xml:space="preserve">(‘ports’) </w:t>
      </w:r>
      <w:r>
        <w:t>one or more Transactions to a replacement firm which is a clearing member of the relevant Agreed CCP in relation to the relevant Agreed CCP Service. Following such request, if and for so long as the Transfer Conditions are satisfied, then the Firm will promptly take such actions that the relevant Rules of the relevant Agreed CCP</w:t>
      </w:r>
      <w:r w:rsidR="00666128">
        <w:t xml:space="preserve"> </w:t>
      </w:r>
      <w:r>
        <w:t>contemplate that it should take and/or that it determines are necessary or desirable to take in order to facilitate and effect the transfer of the relevant Transactions</w:t>
      </w:r>
      <w:r w:rsidR="00666128">
        <w:t xml:space="preserve"> and</w:t>
      </w:r>
      <w:r w:rsidR="00E80F72">
        <w:t xml:space="preserve">, without prejudice to clause </w:t>
      </w:r>
      <w:r w:rsidR="00E80F72">
        <w:fldChar w:fldCharType="begin" w:fldLock="1"/>
      </w:r>
      <w:r w:rsidR="00E80F72">
        <w:instrText xml:space="preserve"> REF _Ref172729304 \w \h </w:instrText>
      </w:r>
      <w:r w:rsidR="00E80F72">
        <w:fldChar w:fldCharType="separate"/>
      </w:r>
      <w:r w:rsidR="009646BC">
        <w:t>7.2</w:t>
      </w:r>
      <w:r w:rsidR="00E80F72">
        <w:fldChar w:fldCharType="end"/>
      </w:r>
      <w:r w:rsidR="00E80F72">
        <w:t xml:space="preserve"> (</w:t>
      </w:r>
      <w:r w:rsidR="00E80F72">
        <w:rPr>
          <w:i/>
          <w:iCs/>
        </w:rPr>
        <w:t>Return obligations of the Firm</w:t>
      </w:r>
      <w:r w:rsidR="00E80F72">
        <w:t>)</w:t>
      </w:r>
      <w:r w:rsidR="003B2BC7">
        <w:t>,</w:t>
      </w:r>
      <w:r w:rsidR="00E80F72">
        <w:t xml:space="preserve"> </w:t>
      </w:r>
      <w:r w:rsidR="00666128">
        <w:t xml:space="preserve">any </w:t>
      </w:r>
      <w:r w:rsidR="002F4C14" w:rsidRPr="008F0B07">
        <w:t>Title Transfer Balance</w:t>
      </w:r>
      <w:r w:rsidR="00972FFD">
        <w:t xml:space="preserve"> </w:t>
      </w:r>
      <w:r w:rsidR="00666128">
        <w:t>attributable to such Transactions</w:t>
      </w:r>
      <w:r>
        <w:t>.</w:t>
      </w:r>
      <w:bookmarkEnd w:id="29"/>
      <w:r>
        <w:t xml:space="preserve"> </w:t>
      </w:r>
    </w:p>
    <w:p w14:paraId="7C9B99B1" w14:textId="2D57B1D3" w:rsidR="002A4483" w:rsidRDefault="005C7D03" w:rsidP="00751E31">
      <w:pPr>
        <w:pStyle w:val="Level2"/>
      </w:pPr>
      <w:r>
        <w:rPr>
          <w:b/>
          <w:bCs/>
          <w:i/>
          <w:iCs/>
        </w:rPr>
        <w:t xml:space="preserve">Discharge: </w:t>
      </w:r>
      <w:r>
        <w:t xml:space="preserve">Any Transactions transferred by an Agreed CCP to another clearing member </w:t>
      </w:r>
      <w:r w:rsidRPr="0077408C">
        <w:t>will</w:t>
      </w:r>
      <w:r>
        <w:t xml:space="preserve"> </w:t>
      </w:r>
      <w:r w:rsidR="00914D21">
        <w:t>no longer</w:t>
      </w:r>
      <w:r w:rsidR="00305A66">
        <w:t xml:space="preserve"> </w:t>
      </w:r>
      <w:r>
        <w:t xml:space="preserve">be subject to </w:t>
      </w:r>
      <w:r w:rsidR="00305A66">
        <w:t xml:space="preserve">the </w:t>
      </w:r>
      <w:r w:rsidR="00993ACC">
        <w:t>Segregated Asset</w:t>
      </w:r>
      <w:r w:rsidR="00305A66">
        <w:t xml:space="preserve"> Terms </w:t>
      </w:r>
      <w:r w:rsidR="006770FA">
        <w:t>as provided</w:t>
      </w:r>
      <w:r w:rsidR="00DE58A7">
        <w:t xml:space="preserve"> </w:t>
      </w:r>
      <w:r w:rsidR="006770FA">
        <w:t>in</w:t>
      </w:r>
      <w:r w:rsidR="00C847AE">
        <w:t xml:space="preserve"> </w:t>
      </w:r>
      <w:r>
        <w:t xml:space="preserve">clause </w:t>
      </w:r>
      <w:r>
        <w:fldChar w:fldCharType="begin" w:fldLock="1"/>
      </w:r>
      <w:r>
        <w:instrText xml:space="preserve"> REF _Ref134561083 \r \h </w:instrText>
      </w:r>
      <w:r>
        <w:fldChar w:fldCharType="separate"/>
      </w:r>
      <w:r w:rsidR="009646BC">
        <w:t>18</w:t>
      </w:r>
      <w:r>
        <w:fldChar w:fldCharType="end"/>
      </w:r>
      <w:r>
        <w:t xml:space="preserve"> (</w:t>
      </w:r>
      <w:r w:rsidRPr="008163F1">
        <w:rPr>
          <w:i/>
          <w:iCs/>
        </w:rPr>
        <w:t>Effect of termination and transfers of Transactions</w:t>
      </w:r>
      <w:r>
        <w:t>).</w:t>
      </w:r>
    </w:p>
    <w:p w14:paraId="54536019" w14:textId="33304702" w:rsidR="00DF370C" w:rsidRDefault="007A6BC3" w:rsidP="00094771">
      <w:pPr>
        <w:pStyle w:val="Level2"/>
      </w:pPr>
      <w:bookmarkStart w:id="30" w:name="_Ref134018660"/>
      <w:r w:rsidRPr="008163F1">
        <w:rPr>
          <w:b/>
          <w:bCs/>
          <w:i/>
          <w:iCs/>
        </w:rPr>
        <w:lastRenderedPageBreak/>
        <w:t>Transfer Conditions:</w:t>
      </w:r>
      <w:r>
        <w:t xml:space="preserve"> In this </w:t>
      </w:r>
      <w:r w:rsidR="00DF370C">
        <w:t>clause</w:t>
      </w:r>
      <w:r w:rsidR="00701D55">
        <w:t xml:space="preserve"> </w:t>
      </w:r>
      <w:r w:rsidR="00701D55">
        <w:fldChar w:fldCharType="begin" w:fldLock="1"/>
      </w:r>
      <w:r w:rsidR="00701D55">
        <w:instrText xml:space="preserve"> REF _Ref134560197 \r \h </w:instrText>
      </w:r>
      <w:r w:rsidR="00701D55">
        <w:fldChar w:fldCharType="separate"/>
      </w:r>
      <w:r w:rsidR="009646BC">
        <w:t>4</w:t>
      </w:r>
      <w:r w:rsidR="00701D55">
        <w:fldChar w:fldCharType="end"/>
      </w:r>
      <w:r>
        <w:t xml:space="preserve">, </w:t>
      </w:r>
      <w:r w:rsidR="008A5B1C">
        <w:t>“</w:t>
      </w:r>
      <w:r w:rsidRPr="00614011">
        <w:rPr>
          <w:b/>
          <w:bCs/>
        </w:rPr>
        <w:t>Transfer Conditions</w:t>
      </w:r>
      <w:r w:rsidR="008A5B1C">
        <w:t>”</w:t>
      </w:r>
      <w:r>
        <w:t xml:space="preserve"> means, with respect to a transfer of Transactions requested by the Client pursuant to </w:t>
      </w:r>
      <w:r w:rsidR="00DF370C">
        <w:t xml:space="preserve">clause </w:t>
      </w:r>
      <w:r w:rsidR="00DF370C">
        <w:fldChar w:fldCharType="begin" w:fldLock="1"/>
      </w:r>
      <w:r w:rsidR="00DF370C">
        <w:instrText xml:space="preserve"> REF _Ref134018680 \r \h </w:instrText>
      </w:r>
      <w:r w:rsidR="00DF370C">
        <w:fldChar w:fldCharType="separate"/>
      </w:r>
      <w:r w:rsidR="009646BC">
        <w:t>4.1</w:t>
      </w:r>
      <w:r w:rsidR="00DF370C">
        <w:fldChar w:fldCharType="end"/>
      </w:r>
      <w:r w:rsidR="00DF370C">
        <w:t xml:space="preserve"> (</w:t>
      </w:r>
      <w:r w:rsidR="00DF370C" w:rsidRPr="008163F1">
        <w:rPr>
          <w:i/>
          <w:iCs/>
        </w:rPr>
        <w:t xml:space="preserve">Transfer of </w:t>
      </w:r>
      <w:r w:rsidR="000E0740">
        <w:rPr>
          <w:i/>
          <w:iCs/>
        </w:rPr>
        <w:t>p</w:t>
      </w:r>
      <w:r w:rsidR="00DF370C" w:rsidRPr="008163F1">
        <w:rPr>
          <w:i/>
          <w:iCs/>
        </w:rPr>
        <w:t xml:space="preserve">ositions in the </w:t>
      </w:r>
      <w:r w:rsidR="000E0740" w:rsidRPr="008163F1">
        <w:rPr>
          <w:i/>
          <w:iCs/>
        </w:rPr>
        <w:t xml:space="preserve">absence </w:t>
      </w:r>
      <w:r w:rsidR="00DF370C" w:rsidRPr="008163F1">
        <w:rPr>
          <w:i/>
          <w:iCs/>
        </w:rPr>
        <w:t xml:space="preserve">of </w:t>
      </w:r>
      <w:r w:rsidR="000B359F">
        <w:rPr>
          <w:i/>
          <w:iCs/>
        </w:rPr>
        <w:t>d</w:t>
      </w:r>
      <w:r w:rsidR="00DF370C" w:rsidRPr="008163F1">
        <w:rPr>
          <w:i/>
          <w:iCs/>
        </w:rPr>
        <w:t>efault</w:t>
      </w:r>
      <w:r w:rsidR="00DF370C">
        <w:t>)</w:t>
      </w:r>
      <w:r>
        <w:t>:</w:t>
      </w:r>
      <w:bookmarkEnd w:id="30"/>
    </w:p>
    <w:p w14:paraId="3593736D" w14:textId="77777777" w:rsidR="00DF370C" w:rsidRDefault="007A6BC3" w:rsidP="00DF370C">
      <w:pPr>
        <w:pStyle w:val="Level3"/>
      </w:pPr>
      <w:r>
        <w:t xml:space="preserve">no CCP Default, Firm Trigger Event or Event of Default has occurred and is continuing; </w:t>
      </w:r>
    </w:p>
    <w:p w14:paraId="06AA93EF" w14:textId="6340B341" w:rsidR="00DF370C" w:rsidRDefault="007A6BC3" w:rsidP="00DF370C">
      <w:pPr>
        <w:pStyle w:val="Level3"/>
      </w:pPr>
      <w:r>
        <w:t>if required by the Firm, the Client has or will have transferred additional margin in the amount specified by the Firm to satisfy any additional margin requirements in respect of Transactions that are not the subject of the requested transfer which</w:t>
      </w:r>
      <w:r w:rsidR="00F939B7">
        <w:t>:</w:t>
      </w:r>
      <w:r>
        <w:t xml:space="preserve"> (i) are imposed by the Rules for the relevant Agreed CCP Service as a condition to the relevant transfer</w:t>
      </w:r>
      <w:r w:rsidR="00F939B7">
        <w:t>;</w:t>
      </w:r>
      <w:r>
        <w:t xml:space="preserve"> or (ii) will result from the relevant transfer in accordance with the terms of this </w:t>
      </w:r>
      <w:r w:rsidR="001A1A21">
        <w:t xml:space="preserve">Client Clearing </w:t>
      </w:r>
      <w:r>
        <w:t>Agreement; and</w:t>
      </w:r>
    </w:p>
    <w:p w14:paraId="49D942EF" w14:textId="66229E67" w:rsidR="007A6BC3" w:rsidRDefault="007A6BC3" w:rsidP="00DF370C">
      <w:pPr>
        <w:pStyle w:val="Level3"/>
      </w:pPr>
      <w:r>
        <w:t>any additional Transfer Conditions agreed in writing between the Parties.</w:t>
      </w:r>
    </w:p>
    <w:p w14:paraId="537609E7" w14:textId="54B7BC9F" w:rsidR="007A6BC3" w:rsidRDefault="007A6BC3" w:rsidP="00623726">
      <w:pPr>
        <w:pStyle w:val="Level1"/>
      </w:pPr>
      <w:r>
        <w:t xml:space="preserve">OFFSETTING TRANSACTIONS </w:t>
      </w:r>
    </w:p>
    <w:p w14:paraId="7E4395FD" w14:textId="299D9CDC" w:rsidR="00A17616" w:rsidRDefault="00A17616" w:rsidP="00094771">
      <w:pPr>
        <w:pStyle w:val="Level2"/>
      </w:pPr>
      <w:bookmarkStart w:id="31" w:name="_Ref134019421"/>
      <w:r w:rsidRPr="00A17616">
        <w:rPr>
          <w:b/>
          <w:bCs/>
          <w:i/>
          <w:iCs/>
        </w:rPr>
        <w:t xml:space="preserve">Offsetting trades: </w:t>
      </w:r>
      <w:r>
        <w:t xml:space="preserve">The Client may at any time request by notice in writing to the Firm in respect of one or more Transactions (each, a </w:t>
      </w:r>
      <w:r w:rsidR="008A5B1C">
        <w:t>“</w:t>
      </w:r>
      <w:r w:rsidRPr="00A17616">
        <w:rPr>
          <w:b/>
          <w:bCs/>
        </w:rPr>
        <w:t>Specified Transaction</w:t>
      </w:r>
      <w:r w:rsidR="008A5B1C">
        <w:t>”</w:t>
      </w:r>
      <w:r>
        <w:t xml:space="preserve">), that the Firm accept </w:t>
      </w:r>
      <w:r w:rsidR="00980328">
        <w:t>for clearing</w:t>
      </w:r>
      <w:r>
        <w:t xml:space="preserve"> an offsetting transaction the terms of which would be identical to those of the Specified Transaction, except that:</w:t>
      </w:r>
      <w:bookmarkEnd w:id="31"/>
    </w:p>
    <w:p w14:paraId="57BA0AE2" w14:textId="0DEEE617" w:rsidR="00A17616" w:rsidRDefault="00A17616" w:rsidP="00A17616">
      <w:pPr>
        <w:pStyle w:val="Level3"/>
      </w:pPr>
      <w:r>
        <w:t xml:space="preserve">the Firm would take the opposite position to that which the Firm has taken under the Specified Transaction; and </w:t>
      </w:r>
    </w:p>
    <w:p w14:paraId="3CBC5C1C" w14:textId="60EF4F17" w:rsidR="00A17616" w:rsidRDefault="00A17616" w:rsidP="00A17616">
      <w:pPr>
        <w:pStyle w:val="Level3"/>
      </w:pPr>
      <w:r>
        <w:t xml:space="preserve">the notional amount of such offsetting transaction would be equal to or less than the notional amount of the Specified Transaction, </w:t>
      </w:r>
    </w:p>
    <w:p w14:paraId="2126753E" w14:textId="571A106E" w:rsidR="00A17616" w:rsidRDefault="00A17616" w:rsidP="00A17616">
      <w:pPr>
        <w:pStyle w:val="Level2"/>
        <w:numPr>
          <w:ilvl w:val="0"/>
          <w:numId w:val="0"/>
        </w:numPr>
        <w:ind w:left="680"/>
      </w:pPr>
      <w:r>
        <w:t xml:space="preserve">each such transaction an </w:t>
      </w:r>
      <w:r w:rsidR="008A5B1C">
        <w:t>“</w:t>
      </w:r>
      <w:r w:rsidRPr="00A17616">
        <w:rPr>
          <w:b/>
          <w:bCs/>
        </w:rPr>
        <w:t>Offsetting Transaction</w:t>
      </w:r>
      <w:r w:rsidR="008A5B1C">
        <w:t>”</w:t>
      </w:r>
      <w:r>
        <w:t xml:space="preserve">. </w:t>
      </w:r>
    </w:p>
    <w:p w14:paraId="5B6C988C" w14:textId="56BBA9B9" w:rsidR="00A17616" w:rsidRDefault="00A17616" w:rsidP="00094771">
      <w:pPr>
        <w:pStyle w:val="Level2"/>
      </w:pPr>
      <w:bookmarkStart w:id="32" w:name="_Ref134019520"/>
      <w:r w:rsidRPr="00A17616">
        <w:rPr>
          <w:b/>
          <w:bCs/>
          <w:i/>
          <w:iCs/>
        </w:rPr>
        <w:t>Acceptance of an Offsetting Transaction</w:t>
      </w:r>
      <w:r w:rsidRPr="001A6624">
        <w:rPr>
          <w:b/>
          <w:bCs/>
          <w:i/>
          <w:iCs/>
        </w:rPr>
        <w:t>:</w:t>
      </w:r>
      <w:r>
        <w:t xml:space="preserve"> If the Offsetting Conditions are satisfied</w:t>
      </w:r>
      <w:r w:rsidR="00614FA7">
        <w:t>,</w:t>
      </w:r>
      <w:r>
        <w:t xml:space="preserve"> then</w:t>
      </w:r>
      <w:r w:rsidR="005F589A">
        <w:t>,</w:t>
      </w:r>
      <w:r>
        <w:t xml:space="preserve"> notwithstanding anything in this </w:t>
      </w:r>
      <w:r w:rsidR="001A1A21">
        <w:t xml:space="preserve">Client Clearing </w:t>
      </w:r>
      <w:r>
        <w:t>Agreement, the Firm will be obliged to</w:t>
      </w:r>
      <w:r w:rsidR="00980328">
        <w:t>: (i)</w:t>
      </w:r>
      <w:r>
        <w:t xml:space="preserve"> accept </w:t>
      </w:r>
      <w:r w:rsidR="00980328">
        <w:t>for clearing such</w:t>
      </w:r>
      <w:r>
        <w:t xml:space="preserve"> Offsetting Transaction</w:t>
      </w:r>
      <w:r w:rsidR="00980328">
        <w:t xml:space="preserve">; </w:t>
      </w:r>
      <w:r w:rsidR="00DA18F1">
        <w:t xml:space="preserve">and </w:t>
      </w:r>
      <w:r w:rsidR="00980328">
        <w:t xml:space="preserve">(ii) to take such action that it is required to take in accordance with the Rules of the relevant Agreed CCP for such Offsetting Transaction to be cleared through the same Agreed CCP Service as such Specified Transaction and for each resulting Transaction to be Compressed with the Specified Transaction in accordance with the Rules of the relevant Agreed CCP, in each case </w:t>
      </w:r>
      <w:r>
        <w:t xml:space="preserve">where it is permissible to do so under Applicable Regulations. For these purposes, the </w:t>
      </w:r>
      <w:r w:rsidR="008A5B1C">
        <w:t>“</w:t>
      </w:r>
      <w:r w:rsidRPr="00A17616">
        <w:rPr>
          <w:b/>
          <w:bCs/>
        </w:rPr>
        <w:t>Offsetting Conditions</w:t>
      </w:r>
      <w:r w:rsidR="008A5B1C">
        <w:t>”</w:t>
      </w:r>
      <w:r>
        <w:t xml:space="preserve"> are as follows:</w:t>
      </w:r>
      <w:bookmarkEnd w:id="32"/>
      <w:r>
        <w:t xml:space="preserve"> </w:t>
      </w:r>
    </w:p>
    <w:p w14:paraId="70252892" w14:textId="2D6DD2FE" w:rsidR="00A17616" w:rsidRDefault="00A17616" w:rsidP="00A17616">
      <w:pPr>
        <w:pStyle w:val="Level3"/>
      </w:pPr>
      <w:r>
        <w:t xml:space="preserve">the related Specified Transaction remains outstanding and there has been no early termination date designated, howsoever described; </w:t>
      </w:r>
    </w:p>
    <w:p w14:paraId="5C925097" w14:textId="38F970E4" w:rsidR="00A17616" w:rsidRDefault="00A17616" w:rsidP="00A17616">
      <w:pPr>
        <w:pStyle w:val="Level3"/>
      </w:pPr>
      <w:r>
        <w:t xml:space="preserve">the Client has satisfied or will have satisfied any condition agreed for this purpose in any margining arrangement between the Firm and the Client, including any obligation in respect of any additional margin which will result from clearing such Offsetting Transaction; </w:t>
      </w:r>
    </w:p>
    <w:p w14:paraId="742A8BE4" w14:textId="15C8B304" w:rsidR="00A17616" w:rsidRDefault="00A17616" w:rsidP="00A17616">
      <w:pPr>
        <w:pStyle w:val="Level3"/>
      </w:pPr>
      <w:r>
        <w:t xml:space="preserve">the clearing of such Offsetting Transaction will not increase the aggregate exposure of the Firm to the Client in respect of all Transactions beyond any risk limits agreed between the Firm and the Client; </w:t>
      </w:r>
    </w:p>
    <w:p w14:paraId="1F459E45" w14:textId="0734AB14" w:rsidR="00A17616" w:rsidRDefault="00587D05" w:rsidP="00A17616">
      <w:pPr>
        <w:pStyle w:val="Level3"/>
      </w:pPr>
      <w:r>
        <w:lastRenderedPageBreak/>
        <w:t>[</w:t>
      </w:r>
      <w:r w:rsidR="00A17616">
        <w:t xml:space="preserve">the Conditions </w:t>
      </w:r>
      <w:r w:rsidR="002E340A">
        <w:t xml:space="preserve">to Clearing </w:t>
      </w:r>
      <w:r w:rsidR="00A17616">
        <w:t>are satisfied</w:t>
      </w:r>
      <w:r>
        <w:t>]</w:t>
      </w:r>
      <w:r w:rsidR="0025632C">
        <w:rPr>
          <w:rStyle w:val="FootnoteReference"/>
        </w:rPr>
        <w:footnoteReference w:id="9"/>
      </w:r>
      <w:r w:rsidR="00A17616">
        <w:t>; and</w:t>
      </w:r>
    </w:p>
    <w:p w14:paraId="346C7485" w14:textId="5043BFDD" w:rsidR="007F5FA2" w:rsidRDefault="00A17616" w:rsidP="001A6624">
      <w:pPr>
        <w:pStyle w:val="Level3"/>
      </w:pPr>
      <w:r>
        <w:t>[any other conditions determined by the Firm at the time are satisfied.]</w:t>
      </w:r>
      <w:r w:rsidR="0025632C">
        <w:rPr>
          <w:rStyle w:val="FootnoteReference"/>
        </w:rPr>
        <w:footnoteReference w:id="10"/>
      </w:r>
    </w:p>
    <w:p w14:paraId="252F48AB" w14:textId="2B790044" w:rsidR="00A74F32" w:rsidRDefault="00F6251E" w:rsidP="00623726">
      <w:pPr>
        <w:pStyle w:val="Level1"/>
      </w:pPr>
      <w:bookmarkStart w:id="33" w:name="_Ref133237982"/>
      <w:r>
        <w:t xml:space="preserve">SETTLEMENT </w:t>
      </w:r>
      <w:r w:rsidR="007E238E">
        <w:t xml:space="preserve">AND </w:t>
      </w:r>
      <w:r w:rsidR="00A74F32">
        <w:t>MARGIN</w:t>
      </w:r>
      <w:bookmarkEnd w:id="33"/>
      <w:r w:rsidR="00A74F32">
        <w:t xml:space="preserve"> </w:t>
      </w:r>
    </w:p>
    <w:p w14:paraId="022CA470" w14:textId="5078E4F8" w:rsidR="00730EF6" w:rsidRDefault="00881148" w:rsidP="00094771">
      <w:pPr>
        <w:pStyle w:val="Level2"/>
      </w:pPr>
      <w:bookmarkStart w:id="34" w:name="_Ref151712019"/>
      <w:bookmarkStart w:id="35" w:name="_Ref151491025"/>
      <w:r>
        <w:rPr>
          <w:b/>
          <w:bCs/>
          <w:i/>
          <w:iCs/>
        </w:rPr>
        <w:t>Performance</w:t>
      </w:r>
      <w:r w:rsidR="002E11F7">
        <w:rPr>
          <w:b/>
          <w:bCs/>
          <w:i/>
          <w:iCs/>
        </w:rPr>
        <w:t xml:space="preserve"> and</w:t>
      </w:r>
      <w:r>
        <w:rPr>
          <w:b/>
          <w:bCs/>
          <w:i/>
          <w:iCs/>
        </w:rPr>
        <w:t xml:space="preserve"> settlement</w:t>
      </w:r>
      <w:r w:rsidR="008D74BC">
        <w:rPr>
          <w:rStyle w:val="FootnoteReference"/>
          <w:b/>
          <w:bCs/>
          <w:i/>
          <w:iCs/>
        </w:rPr>
        <w:footnoteReference w:id="11"/>
      </w:r>
      <w:r w:rsidRPr="007942E2">
        <w:rPr>
          <w:b/>
          <w:bCs/>
          <w:i/>
          <w:iCs/>
        </w:rPr>
        <w:t>:</w:t>
      </w:r>
      <w:r w:rsidR="00E2703D" w:rsidRPr="00E2703D">
        <w:t xml:space="preserve"> </w:t>
      </w:r>
    </w:p>
    <w:p w14:paraId="4505861D" w14:textId="5411E05C" w:rsidR="00FC33E2" w:rsidRDefault="002E340A" w:rsidP="002C4803">
      <w:pPr>
        <w:pStyle w:val="Level3"/>
      </w:pPr>
      <w:bookmarkStart w:id="36" w:name="_Ref160617864"/>
      <w:bookmarkStart w:id="37" w:name="_Ref160613843"/>
      <w:r>
        <w:t>The Firm shall determine, from time to time, the aggregate amount of Acceptable Margin required, or that may be required to satisfy any obligation due under, or in respect of, a Transaction or the Agreement (the “</w:t>
      </w:r>
      <w:r>
        <w:rPr>
          <w:b/>
          <w:bCs/>
        </w:rPr>
        <w:t xml:space="preserve">Margin </w:t>
      </w:r>
      <w:r w:rsidRPr="002E340A">
        <w:rPr>
          <w:b/>
          <w:bCs/>
        </w:rPr>
        <w:t>Requirement</w:t>
      </w:r>
      <w:r>
        <w:t xml:space="preserve">”). </w:t>
      </w:r>
      <w:r w:rsidR="007C0A01" w:rsidRPr="002E340A">
        <w:t>The</w:t>
      </w:r>
      <w:r w:rsidR="007C0A01">
        <w:t xml:space="preserve"> Client </w:t>
      </w:r>
      <w:r w:rsidR="007C0A01" w:rsidRPr="00E2703D">
        <w:t>agrees to transfer or make available to the Firm on demand (and no later than any deadline specified by the Firm)</w:t>
      </w:r>
      <w:r w:rsidR="007C0A01">
        <w:t xml:space="preserve"> </w:t>
      </w:r>
      <w:r w:rsidR="00E2703D" w:rsidRPr="00E2703D">
        <w:t xml:space="preserve">all </w:t>
      </w:r>
      <w:r w:rsidR="00A9051A">
        <w:t>Acceptable Margin</w:t>
      </w:r>
      <w:r w:rsidR="00E2703D" w:rsidRPr="00E2703D">
        <w:t xml:space="preserve"> as determined by the Firm to be required</w:t>
      </w:r>
      <w:r w:rsidR="00A9051A">
        <w:t xml:space="preserve"> in order to ensure that the Title Transfer Balance Value is at least equal to the Margin Requirement </w:t>
      </w:r>
      <w:r w:rsidR="00E2703D" w:rsidRPr="00E2703D">
        <w:t xml:space="preserve">(including any payment obligation or obligation to deliver </w:t>
      </w:r>
      <w:r w:rsidR="00720BCC">
        <w:t>margin</w:t>
      </w:r>
      <w:r w:rsidR="00720BCC" w:rsidRPr="00E2703D">
        <w:t xml:space="preserve"> </w:t>
      </w:r>
      <w:r w:rsidR="00E2703D" w:rsidRPr="00E2703D">
        <w:t xml:space="preserve">pursuant to </w:t>
      </w:r>
      <w:r w:rsidR="005B5BA4">
        <w:t>the Rules applicable to any Clearing Service (or any relevant Infrastructure) or as the Firm may require</w:t>
      </w:r>
      <w:r w:rsidR="00B46ED1">
        <w:t>)</w:t>
      </w:r>
      <w:r w:rsidR="00627C36">
        <w:t>.</w:t>
      </w:r>
      <w:r w:rsidR="00275358" w:rsidRPr="00275358">
        <w:t xml:space="preserve"> All such </w:t>
      </w:r>
      <w:r w:rsidR="00A9051A">
        <w:t>Acceptable Margin</w:t>
      </w:r>
      <w:r w:rsidR="00275358" w:rsidRPr="00275358">
        <w:t xml:space="preserve"> transferred to the Firm</w:t>
      </w:r>
      <w:r w:rsidR="009C192E">
        <w:t xml:space="preserve"> </w:t>
      </w:r>
      <w:r w:rsidR="00275358" w:rsidRPr="00275358">
        <w:t xml:space="preserve">shall </w:t>
      </w:r>
      <w:r w:rsidR="0002691C">
        <w:t xml:space="preserve">be transferred to the Firm </w:t>
      </w:r>
      <w:r w:rsidR="00C370FD">
        <w:t>in accordance with</w:t>
      </w:r>
      <w:r w:rsidR="0002691C">
        <w:t xml:space="preserve"> the Title Transfer Provisions</w:t>
      </w:r>
      <w:r w:rsidR="00275358" w:rsidRPr="00275358">
        <w:t>.</w:t>
      </w:r>
      <w:bookmarkEnd w:id="36"/>
      <w:r w:rsidR="00275358" w:rsidRPr="00275358">
        <w:t xml:space="preserve"> </w:t>
      </w:r>
    </w:p>
    <w:p w14:paraId="22039E4A" w14:textId="31467F10" w:rsidR="00A74F32" w:rsidRDefault="00275358" w:rsidP="002E4386">
      <w:pPr>
        <w:pStyle w:val="Level3"/>
      </w:pPr>
      <w:bookmarkStart w:id="38" w:name="_Ref161146265"/>
      <w:r w:rsidRPr="00275358">
        <w:t xml:space="preserve">The Client further agrees that if the Client has not transferred or made available to the Firm any </w:t>
      </w:r>
      <w:r w:rsidR="00E5215D">
        <w:t>margin</w:t>
      </w:r>
      <w:r w:rsidR="00E5215D" w:rsidRPr="00275358">
        <w:t xml:space="preserve"> </w:t>
      </w:r>
      <w:r w:rsidRPr="00275358">
        <w:t xml:space="preserve">required </w:t>
      </w:r>
      <w:r w:rsidR="00544DCA">
        <w:t xml:space="preserve">in accordance with clause </w:t>
      </w:r>
      <w:r w:rsidR="00544DCA">
        <w:fldChar w:fldCharType="begin" w:fldLock="1"/>
      </w:r>
      <w:r w:rsidR="00544DCA">
        <w:instrText xml:space="preserve"> REF _Ref160617864 \r \h </w:instrText>
      </w:r>
      <w:r w:rsidR="00544DCA">
        <w:fldChar w:fldCharType="separate"/>
      </w:r>
      <w:r w:rsidR="009646BC">
        <w:t>6.1.1</w:t>
      </w:r>
      <w:r w:rsidR="00544DCA">
        <w:fldChar w:fldCharType="end"/>
      </w:r>
      <w:r w:rsidR="00544DCA">
        <w:t xml:space="preserve"> </w:t>
      </w:r>
      <w:r w:rsidRPr="00275358">
        <w:t xml:space="preserve">by the deadline specified: </w:t>
      </w:r>
      <w:bookmarkStart w:id="39" w:name="limb_i"/>
      <w:r w:rsidRPr="00275358">
        <w:t>(i)</w:t>
      </w:r>
      <w:bookmarkEnd w:id="39"/>
      <w:r w:rsidRPr="00275358">
        <w:t xml:space="preserve"> the Firm may proceed to settlement or close-out notwithstanding and to that end the Firm may purchase any securities or commodities required for delivery at a price the Firm believes to be reasonable, charge the </w:t>
      </w:r>
      <w:r w:rsidR="00113464">
        <w:t>A</w:t>
      </w:r>
      <w:r w:rsidRPr="00275358">
        <w:t>ccount for the cost</w:t>
      </w:r>
      <w:r w:rsidR="00105F4E">
        <w:t xml:space="preserve"> and</w:t>
      </w:r>
      <w:r w:rsidRPr="00275358">
        <w:t xml:space="preserve"> deliver the securities or commodities to satisfy the delivery obligation; and (ii) the Client shall also transfer to the Firm on demand (and no later than any deadline specified by the Firm) such amounts as are required to compensate and make whole the Firm for any and all Losses incurred by the Firm in satisfying that obligation (including any costs of funding which the Firm incurs in satisfying that obligation and including, without duplication, any costs incurred by the Firm in taking any action described in </w:t>
      </w:r>
      <w:r w:rsidR="00F939B7">
        <w:t>paragraph</w:t>
      </w:r>
      <w:r w:rsidRPr="00275358">
        <w:t xml:space="preserve"> </w:t>
      </w:r>
      <w:r w:rsidR="00F939B7">
        <w:fldChar w:fldCharType="begin" w:fldLock="1"/>
      </w:r>
      <w:r w:rsidR="00F939B7">
        <w:instrText xml:space="preserve"> REF limb_i \h </w:instrText>
      </w:r>
      <w:r w:rsidR="00F939B7">
        <w:fldChar w:fldCharType="separate"/>
      </w:r>
      <w:r w:rsidR="009646BC" w:rsidRPr="00275358">
        <w:t>(i)</w:t>
      </w:r>
      <w:r w:rsidR="00F939B7">
        <w:fldChar w:fldCharType="end"/>
      </w:r>
      <w:r w:rsidRPr="00275358">
        <w:t xml:space="preserve"> of this clause</w:t>
      </w:r>
      <w:r w:rsidR="002C5C7C">
        <w:t xml:space="preserve"> </w:t>
      </w:r>
      <w:r w:rsidR="002C5C7C">
        <w:fldChar w:fldCharType="begin" w:fldLock="1"/>
      </w:r>
      <w:r w:rsidR="002C5C7C">
        <w:instrText xml:space="preserve"> REF _Ref161146265 \r \h </w:instrText>
      </w:r>
      <w:r w:rsidR="002C5C7C">
        <w:fldChar w:fldCharType="separate"/>
      </w:r>
      <w:r w:rsidR="009646BC">
        <w:t>6.1.2</w:t>
      </w:r>
      <w:r w:rsidR="002C5C7C">
        <w:fldChar w:fldCharType="end"/>
      </w:r>
      <w:r>
        <w:t>)).</w:t>
      </w:r>
      <w:bookmarkEnd w:id="34"/>
      <w:bookmarkEnd w:id="35"/>
      <w:bookmarkEnd w:id="37"/>
      <w:bookmarkEnd w:id="38"/>
    </w:p>
    <w:p w14:paraId="7F2F8F24" w14:textId="5EEDC8D8" w:rsidR="002E11F7" w:rsidRPr="004327E0" w:rsidRDefault="009A0DC2" w:rsidP="00134DB1">
      <w:pPr>
        <w:pStyle w:val="Level2"/>
        <w:rPr>
          <w:b/>
          <w:bCs/>
        </w:rPr>
      </w:pPr>
      <w:bookmarkStart w:id="40" w:name="_Ref192019204"/>
      <w:bookmarkStart w:id="41" w:name="_Ref133419461"/>
      <w:r w:rsidRPr="00BE157C">
        <w:rPr>
          <w:b/>
          <w:bCs/>
          <w:i/>
          <w:iCs/>
        </w:rPr>
        <w:t>Margin calls</w:t>
      </w:r>
      <w:r w:rsidR="004C4D2C" w:rsidRPr="00BE157C">
        <w:rPr>
          <w:b/>
          <w:bCs/>
          <w:i/>
          <w:iCs/>
        </w:rPr>
        <w:t>:</w:t>
      </w:r>
      <w:r w:rsidR="002800C2" w:rsidRPr="002800C2">
        <w:t xml:space="preserve"> </w:t>
      </w:r>
      <w:r w:rsidR="002800C2">
        <w:t>[The Firm may make a separate margin call in relation to each Clearing Service, and the Firm may make aggregated margin calls in relation to two or more Clearing Services. The Firm may make multiple margin calls on the Client on a particular day. In determining the amounts of margin, the Client's obligations to the Firm and the Firm's obligations to the Client, the Firm may apply whichever methodology (including judgements as to the future movement of markets and values) the Firm considers appropriate.]</w:t>
      </w:r>
      <w:r w:rsidR="002800C2">
        <w:rPr>
          <w:rStyle w:val="FootnoteReference"/>
        </w:rPr>
        <w:footnoteReference w:id="12"/>
      </w:r>
      <w:r w:rsidR="002800C2">
        <w:t xml:space="preserve"> Notwithstanding </w:t>
      </w:r>
      <w:r w:rsidR="002800C2" w:rsidRPr="00173C9C">
        <w:t xml:space="preserve">clauses </w:t>
      </w:r>
      <w:r w:rsidR="002800C2" w:rsidRPr="00173C9C">
        <w:fldChar w:fldCharType="begin" w:fldLock="1"/>
      </w:r>
      <w:r w:rsidR="002800C2" w:rsidRPr="00173C9C">
        <w:instrText xml:space="preserve"> REF _Ref133412062 \n \h </w:instrText>
      </w:r>
      <w:r w:rsidR="002800C2">
        <w:instrText xml:space="preserve"> \* MERGEFORMAT </w:instrText>
      </w:r>
      <w:r w:rsidR="002800C2" w:rsidRPr="00173C9C">
        <w:fldChar w:fldCharType="separate"/>
      </w:r>
      <w:r w:rsidR="009646BC">
        <w:t>27.2</w:t>
      </w:r>
      <w:r w:rsidR="002800C2" w:rsidRPr="00173C9C">
        <w:fldChar w:fldCharType="end"/>
      </w:r>
      <w:r w:rsidR="002800C2" w:rsidRPr="00173C9C">
        <w:t xml:space="preserve"> (</w:t>
      </w:r>
      <w:r w:rsidR="002800C2" w:rsidRPr="002800C2">
        <w:rPr>
          <w:i/>
          <w:iCs/>
        </w:rPr>
        <w:t>Notices</w:t>
      </w:r>
      <w:r w:rsidR="002800C2" w:rsidRPr="00173C9C">
        <w:t xml:space="preserve">) and </w:t>
      </w:r>
      <w:r w:rsidR="002800C2" w:rsidRPr="00173C9C">
        <w:fldChar w:fldCharType="begin" w:fldLock="1"/>
      </w:r>
      <w:r w:rsidR="002800C2" w:rsidRPr="00173C9C">
        <w:instrText xml:space="preserve"> REF _Ref133442908 \n \h </w:instrText>
      </w:r>
      <w:r w:rsidR="002800C2">
        <w:instrText xml:space="preserve"> \* MERGEFORMAT </w:instrText>
      </w:r>
      <w:r w:rsidR="002800C2" w:rsidRPr="00173C9C">
        <w:fldChar w:fldCharType="separate"/>
      </w:r>
      <w:r w:rsidR="009646BC">
        <w:t>27.3</w:t>
      </w:r>
      <w:r w:rsidR="002800C2" w:rsidRPr="00173C9C">
        <w:fldChar w:fldCharType="end"/>
      </w:r>
      <w:r w:rsidR="002800C2" w:rsidRPr="00173C9C">
        <w:t xml:space="preserve"> (</w:t>
      </w:r>
      <w:r w:rsidR="002800C2" w:rsidRPr="002800C2">
        <w:rPr>
          <w:i/>
          <w:iCs/>
        </w:rPr>
        <w:t>Effectiveness of notices</w:t>
      </w:r>
      <w:r w:rsidR="002800C2" w:rsidRPr="00173C9C">
        <w:t>), any margin call</w:t>
      </w:r>
      <w:r w:rsidR="002800C2">
        <w:t xml:space="preserve"> will be effective on the day on which notice of the margin call is given by the Firm.</w:t>
      </w:r>
      <w:bookmarkStart w:id="42" w:name="_Ref161146395"/>
      <w:bookmarkEnd w:id="40"/>
    </w:p>
    <w:p w14:paraId="4637475A" w14:textId="6E063516" w:rsidR="00A74F32" w:rsidRDefault="00A74F32" w:rsidP="00D17622">
      <w:pPr>
        <w:pStyle w:val="Level2"/>
      </w:pPr>
      <w:bookmarkStart w:id="43" w:name="_Ref161145665"/>
      <w:bookmarkEnd w:id="42"/>
      <w:r w:rsidRPr="001B397E">
        <w:rPr>
          <w:b/>
          <w:bCs/>
          <w:i/>
          <w:iCs/>
        </w:rPr>
        <w:t>Form of margin:</w:t>
      </w:r>
      <w:r>
        <w:t xml:space="preserve"> Margin must be provided by the Client in the form of a type of Acceptable Margin. If the Firm has not notified the Client of types of Acceptable Margin, margin must be paid by the Client in cash. The currency of the cash margin will be the currency or currencies </w:t>
      </w:r>
      <w:r>
        <w:lastRenderedPageBreak/>
        <w:t>notified by the Firm from time to time or, if no such currencies have been notified, the [Base Currency] [the currency of the Transaction]</w:t>
      </w:r>
      <w:r w:rsidR="00436ED5">
        <w:rPr>
          <w:rStyle w:val="FootnoteReference"/>
        </w:rPr>
        <w:footnoteReference w:id="13"/>
      </w:r>
      <w:r>
        <w:t>. If the Firm notifies the Client of Acceptable Margin, the Client may only satisfy the requirement to provide margin by transferring assets of the classes, and subject to the haircuts and any other provisions, specified by the Firm. The Firm may amend the eligibility criteria, the applicable haircuts and other requirements for Acceptable Margin at any time.</w:t>
      </w:r>
      <w:bookmarkEnd w:id="41"/>
      <w:bookmarkEnd w:id="43"/>
      <w:r>
        <w:t xml:space="preserve"> </w:t>
      </w:r>
    </w:p>
    <w:p w14:paraId="6DBC0E26" w14:textId="3E9D6678" w:rsidR="00D46D06" w:rsidRDefault="0095388E" w:rsidP="00D17622">
      <w:pPr>
        <w:pStyle w:val="Level2"/>
      </w:pPr>
      <w:r>
        <w:rPr>
          <w:b/>
          <w:bCs/>
          <w:i/>
          <w:iCs/>
        </w:rPr>
        <w:t>Margin:</w:t>
      </w:r>
      <w:r>
        <w:t xml:space="preserve"> </w:t>
      </w:r>
      <w:r w:rsidR="00E43B82">
        <w:t>All r</w:t>
      </w:r>
      <w:r w:rsidRPr="00AD5105">
        <w:t>eferences to</w:t>
      </w:r>
      <w:r>
        <w:t xml:space="preserve"> “margin” in this Client Clearing Agreement</w:t>
      </w:r>
      <w:r w:rsidRPr="00AD5105">
        <w:t xml:space="preserve"> </w:t>
      </w:r>
      <w:r w:rsidRPr="0095388E">
        <w:t>shall include collateral, variation margin, initial margin and payments of principal, coupon and other payments under Transactions</w:t>
      </w:r>
      <w:r w:rsidR="008A5D77">
        <w:t>.</w:t>
      </w:r>
    </w:p>
    <w:p w14:paraId="6AB8B6AB" w14:textId="6E097A84" w:rsidR="00A9051A" w:rsidRPr="004327E0" w:rsidRDefault="00BF2A88" w:rsidP="00A9051A">
      <w:pPr>
        <w:pStyle w:val="Level2"/>
      </w:pPr>
      <w:bookmarkStart w:id="44" w:name="_Ref172730239"/>
      <w:r>
        <w:rPr>
          <w:b/>
          <w:bCs/>
          <w:i/>
          <w:iCs/>
        </w:rPr>
        <w:t xml:space="preserve">Negative Title Transfer Balance: </w:t>
      </w:r>
      <w:r w:rsidR="00A9051A">
        <w:t xml:space="preserve">The Client shall be liable to account to the Firm for any negative balance recorded in a Title Transfer Balance by transferring or making available to the Firm on demand Acceptable Margin that is represented in that negative Title Transfer Balance in an amount equal to the absolute amount recorded in such negative Title Transfer Balance, provided that the aggregate liability of the Client at any point in time shall be limited to the absolute value of any negative Title Transfer Balance Value, plus the Value of any demands for Acceptable Margin that have been made by the Firm but not yet satisfied by the Client. </w:t>
      </w:r>
    </w:p>
    <w:p w14:paraId="13988928" w14:textId="3D7E892C" w:rsidR="00F84D5F" w:rsidRDefault="00F84D5F" w:rsidP="00623726">
      <w:pPr>
        <w:pStyle w:val="Level1"/>
      </w:pPr>
      <w:bookmarkStart w:id="45" w:name="_Ref133238981"/>
      <w:bookmarkStart w:id="46" w:name="_Ref139919652"/>
      <w:bookmarkEnd w:id="44"/>
      <w:r>
        <w:t>TITLE TRANSFER PROVISIONS</w:t>
      </w:r>
      <w:bookmarkEnd w:id="45"/>
      <w:bookmarkEnd w:id="46"/>
    </w:p>
    <w:p w14:paraId="5DD27D00" w14:textId="560A1ECC" w:rsidR="00F84D5F" w:rsidRDefault="00157507" w:rsidP="00FE6CD9">
      <w:pPr>
        <w:pStyle w:val="Level2"/>
      </w:pPr>
      <w:bookmarkStart w:id="47" w:name="_Ref139919286"/>
      <w:r>
        <w:rPr>
          <w:b/>
          <w:bCs/>
          <w:i/>
          <w:iCs/>
        </w:rPr>
        <w:t>Title transfer</w:t>
      </w:r>
      <w:r w:rsidR="00F84D5F" w:rsidRPr="001A6624">
        <w:rPr>
          <w:b/>
          <w:bCs/>
          <w:i/>
          <w:iCs/>
        </w:rPr>
        <w:t>:</w:t>
      </w:r>
      <w:r w:rsidR="00F84D5F">
        <w:t xml:space="preserve"> </w:t>
      </w:r>
      <w:bookmarkEnd w:id="47"/>
      <w:r>
        <w:t>Each Party agrees that any Acceptable Margin, Title Transfer Assets, Equivalent Title Transfer Assets, Equivalent Distributions or interest in respect of Title Transfer Assets which it transfers to the other Party</w:t>
      </w:r>
      <w:r w:rsidR="0092396D">
        <w:t xml:space="preserve"> will be</w:t>
      </w:r>
      <w:r w:rsidR="00F939B7">
        <w:t>:</w:t>
      </w:r>
      <w:r w:rsidR="003C0732">
        <w:t xml:space="preserve"> (i) provided by way of absolute transfer </w:t>
      </w:r>
      <w:r w:rsidR="003C0732" w:rsidRPr="00126960">
        <w:t xml:space="preserve">and will become the property of the </w:t>
      </w:r>
      <w:r w:rsidR="004A350F">
        <w:t>recipient</w:t>
      </w:r>
      <w:r w:rsidR="00F939B7">
        <w:t>;</w:t>
      </w:r>
      <w:r w:rsidR="000F1287">
        <w:t xml:space="preserve"> and</w:t>
      </w:r>
      <w:r w:rsidR="003C0732" w:rsidRPr="00126960">
        <w:t xml:space="preserve"> (ii)</w:t>
      </w:r>
      <w:r w:rsidRPr="00126960">
        <w:t xml:space="preserve"> </w:t>
      </w:r>
      <w:r>
        <w:t>transferred with full title guarantee and all right, title and interest in and to</w:t>
      </w:r>
      <w:r w:rsidR="00F91F50">
        <w:t xml:space="preserve"> all such property</w:t>
      </w:r>
      <w:r>
        <w:t xml:space="preserve"> will vest in the recipient free and clear of any interest of or granted by any person other than the recipient, including any security interest, lien, claim, charge, encumbrance or other restriction (other than any lien routinely imposed on all securities in a relevant clearance system). Notwithstanding the use of terms such as “margin” which are used to reflect terminology used in the market for such arrangements, nothing in the Title Transfer Provisions is intended to create a security interest in any Acceptable Margin, Title Transfer Assets, Equivalent Title Transfer Assets, Equivalent Distributions or interest in respect of Title Transfer Assets transferred pursuant to this </w:t>
      </w:r>
      <w:r w:rsidR="00C26DF0">
        <w:t xml:space="preserve">Client Clearing </w:t>
      </w:r>
      <w:r>
        <w:t>Agreement</w:t>
      </w:r>
      <w:r w:rsidR="00C273BC">
        <w:t>.</w:t>
      </w:r>
      <w:r w:rsidR="00FF6F2E">
        <w:t xml:space="preserve"> </w:t>
      </w:r>
    </w:p>
    <w:p w14:paraId="2DFE0B43" w14:textId="77777777" w:rsidR="00C638C0" w:rsidRDefault="00F84D5F" w:rsidP="00094771">
      <w:pPr>
        <w:pStyle w:val="Level2"/>
      </w:pPr>
      <w:bookmarkStart w:id="48" w:name="_Ref172729304"/>
      <w:bookmarkStart w:id="49" w:name="_Ref151484359"/>
      <w:r w:rsidRPr="00315EAE">
        <w:rPr>
          <w:b/>
          <w:bCs/>
          <w:i/>
          <w:iCs/>
        </w:rPr>
        <w:t xml:space="preserve">Return </w:t>
      </w:r>
      <w:r w:rsidR="00631457">
        <w:rPr>
          <w:b/>
          <w:bCs/>
          <w:i/>
          <w:iCs/>
        </w:rPr>
        <w:t>obligations of the Firm</w:t>
      </w:r>
      <w:r w:rsidRPr="001A6624">
        <w:rPr>
          <w:b/>
          <w:bCs/>
          <w:i/>
          <w:iCs/>
        </w:rPr>
        <w:t>:</w:t>
      </w:r>
      <w:r w:rsidRPr="00315EAE">
        <w:t xml:space="preserve"> </w:t>
      </w:r>
    </w:p>
    <w:p w14:paraId="1CEB7D17" w14:textId="7EAE82AD" w:rsidR="00443216" w:rsidRDefault="00C638C0" w:rsidP="004327E0">
      <w:pPr>
        <w:pStyle w:val="Level3"/>
      </w:pPr>
      <w:bookmarkStart w:id="50" w:name="_Ref206678240"/>
      <w:r>
        <w:t xml:space="preserve">Subject to clauses </w:t>
      </w:r>
      <w:r w:rsidR="00F939B7">
        <w:fldChar w:fldCharType="begin" w:fldLock="1"/>
      </w:r>
      <w:r w:rsidR="00F939B7">
        <w:instrText xml:space="preserve"> REF _Ref192018352 \n \h </w:instrText>
      </w:r>
      <w:r w:rsidR="00F939B7">
        <w:fldChar w:fldCharType="separate"/>
      </w:r>
      <w:r w:rsidR="009646BC">
        <w:t>7.2.2</w:t>
      </w:r>
      <w:r w:rsidR="00F939B7">
        <w:fldChar w:fldCharType="end"/>
      </w:r>
      <w:r>
        <w:t xml:space="preserve"> and </w:t>
      </w:r>
      <w:r>
        <w:fldChar w:fldCharType="begin" w:fldLock="1"/>
      </w:r>
      <w:r>
        <w:instrText xml:space="preserve"> REF _Ref172803213 \w \h </w:instrText>
      </w:r>
      <w:r>
        <w:fldChar w:fldCharType="separate"/>
      </w:r>
      <w:r w:rsidR="009646BC">
        <w:t>7.2.3</w:t>
      </w:r>
      <w:r>
        <w:fldChar w:fldCharType="end"/>
      </w:r>
      <w:r>
        <w:t>, t</w:t>
      </w:r>
      <w:r w:rsidR="00F84D5F" w:rsidRPr="00315EAE">
        <w:t>he Firm is obliged to</w:t>
      </w:r>
      <w:r w:rsidR="001340C2" w:rsidRPr="001340C2">
        <w:t xml:space="preserve"> </w:t>
      </w:r>
      <w:r w:rsidR="001340C2" w:rsidRPr="00315EAE">
        <w:t xml:space="preserve">transfer Equivalent </w:t>
      </w:r>
      <w:r w:rsidR="001340C2">
        <w:t>Title Transfer Assets</w:t>
      </w:r>
      <w:r w:rsidR="001340C2" w:rsidRPr="00315EAE">
        <w:t xml:space="preserve"> </w:t>
      </w:r>
      <w:r w:rsidR="00DD0ABB" w:rsidRPr="00315EAE">
        <w:t xml:space="preserve">(to </w:t>
      </w:r>
      <w:r w:rsidR="00DD0ABB">
        <w:t>‘</w:t>
      </w:r>
      <w:r w:rsidR="00DD0ABB" w:rsidRPr="002E4386">
        <w:t>return</w:t>
      </w:r>
      <w:r w:rsidR="00DD0ABB">
        <w:t>’ margin</w:t>
      </w:r>
      <w:r w:rsidR="00DD0ABB" w:rsidRPr="00315EAE">
        <w:t>)</w:t>
      </w:r>
      <w:r w:rsidR="00DD0ABB">
        <w:t xml:space="preserve"> </w:t>
      </w:r>
      <w:r w:rsidR="001340C2" w:rsidRPr="00315EAE">
        <w:t>to the Client</w:t>
      </w:r>
      <w:r w:rsidR="00443216">
        <w:t>:</w:t>
      </w:r>
      <w:bookmarkEnd w:id="48"/>
      <w:bookmarkEnd w:id="50"/>
      <w:r w:rsidR="00F84D5F" w:rsidRPr="00315EAE">
        <w:t xml:space="preserve"> </w:t>
      </w:r>
    </w:p>
    <w:p w14:paraId="252C44BD" w14:textId="6743D31F" w:rsidR="00443216" w:rsidRDefault="00F84D5F" w:rsidP="004327E0">
      <w:pPr>
        <w:pStyle w:val="Level4"/>
      </w:pPr>
      <w:bookmarkStart w:id="51" w:name="_Ref172803247"/>
      <w:r w:rsidRPr="00315EAE">
        <w:t xml:space="preserve">following a demand </w:t>
      </w:r>
      <w:r w:rsidR="00DB4AB5">
        <w:t xml:space="preserve">from the Client </w:t>
      </w:r>
      <w:r w:rsidRPr="00315EAE">
        <w:t xml:space="preserve">for </w:t>
      </w:r>
      <w:r w:rsidR="00707DF7">
        <w:t>the</w:t>
      </w:r>
      <w:r w:rsidR="00707DF7" w:rsidRPr="00315EAE">
        <w:t xml:space="preserve"> </w:t>
      </w:r>
      <w:r w:rsidRPr="00315EAE">
        <w:t>return</w:t>
      </w:r>
      <w:r w:rsidR="00707DF7">
        <w:t xml:space="preserve"> of margin</w:t>
      </w:r>
      <w:r w:rsidR="00C638C0">
        <w:t>;</w:t>
      </w:r>
      <w:r w:rsidR="001A1F7D">
        <w:t xml:space="preserve"> </w:t>
      </w:r>
      <w:bookmarkEnd w:id="49"/>
      <w:r w:rsidR="0013193A">
        <w:t>and</w:t>
      </w:r>
      <w:bookmarkEnd w:id="51"/>
    </w:p>
    <w:p w14:paraId="0EE5626D" w14:textId="3C616BDB" w:rsidR="00C638C0" w:rsidRDefault="00443216" w:rsidP="00C638C0">
      <w:pPr>
        <w:pStyle w:val="Level4"/>
      </w:pPr>
      <w:r>
        <w:t>o</w:t>
      </w:r>
      <w:r w:rsidRPr="00173C9C">
        <w:t xml:space="preserve">n any date </w:t>
      </w:r>
      <w:r w:rsidR="005F75A1">
        <w:t>following the</w:t>
      </w:r>
      <w:r w:rsidRPr="00173C9C">
        <w:t xml:space="preserve"> </w:t>
      </w:r>
      <w:r w:rsidR="005F75A1">
        <w:t>termination of</w:t>
      </w:r>
      <w:r w:rsidRPr="00173C9C">
        <w:t xml:space="preserve"> </w:t>
      </w:r>
      <w:r w:rsidR="00701E95">
        <w:t xml:space="preserve">all </w:t>
      </w:r>
      <w:r w:rsidRPr="00173C9C">
        <w:t xml:space="preserve">Transactions </w:t>
      </w:r>
      <w:r w:rsidR="00701E95">
        <w:t xml:space="preserve">in a Cleared Transaction Set </w:t>
      </w:r>
      <w:r w:rsidRPr="00173C9C">
        <w:t>pursuant to</w:t>
      </w:r>
      <w:r w:rsidR="00E70C4B">
        <w:t>:</w:t>
      </w:r>
      <w:r w:rsidR="00C638C0">
        <w:t xml:space="preserve"> </w:t>
      </w:r>
    </w:p>
    <w:p w14:paraId="46ED5BDB" w14:textId="0BE01E25" w:rsidR="00C638C0" w:rsidRDefault="00443216" w:rsidP="00C638C0">
      <w:pPr>
        <w:pStyle w:val="Level5"/>
      </w:pPr>
      <w:r w:rsidRPr="00173C9C">
        <w:t xml:space="preserve">clause </w:t>
      </w:r>
      <w:r w:rsidRPr="00173C9C">
        <w:fldChar w:fldCharType="begin" w:fldLock="1"/>
      </w:r>
      <w:r w:rsidRPr="00173C9C">
        <w:instrText xml:space="preserve"> REF _Ref133442935 \n \h </w:instrText>
      </w:r>
      <w:r>
        <w:instrText xml:space="preserve"> \* MERGEFORMAT </w:instrText>
      </w:r>
      <w:r w:rsidRPr="00173C9C">
        <w:fldChar w:fldCharType="separate"/>
      </w:r>
      <w:r w:rsidR="009646BC">
        <w:t>12</w:t>
      </w:r>
      <w:r w:rsidRPr="00173C9C">
        <w:fldChar w:fldCharType="end"/>
      </w:r>
      <w:r w:rsidRPr="00173C9C">
        <w:t xml:space="preserve"> (</w:t>
      </w:r>
      <w:r w:rsidRPr="00C638C0">
        <w:rPr>
          <w:i/>
          <w:iCs/>
        </w:rPr>
        <w:t>Termination Following a Firm Trigger Event</w:t>
      </w:r>
      <w:r w:rsidRPr="00173C9C">
        <w:t>)</w:t>
      </w:r>
      <w:r w:rsidR="00C638C0">
        <w:t xml:space="preserve">; </w:t>
      </w:r>
      <w:r w:rsidRPr="00173C9C">
        <w:t>or</w:t>
      </w:r>
      <w:r w:rsidR="00225B25">
        <w:t xml:space="preserve"> </w:t>
      </w:r>
    </w:p>
    <w:p w14:paraId="184384F2" w14:textId="4FD78BEA" w:rsidR="00C638C0" w:rsidRDefault="00225B25" w:rsidP="00C638C0">
      <w:pPr>
        <w:pStyle w:val="Level5"/>
      </w:pPr>
      <w:bookmarkStart w:id="52" w:name="_Ref172803252"/>
      <w:r>
        <w:t>clause</w:t>
      </w:r>
      <w:r w:rsidR="00443216" w:rsidRPr="00173C9C">
        <w:t xml:space="preserve"> </w:t>
      </w:r>
      <w:r w:rsidR="00443216" w:rsidRPr="00173C9C">
        <w:fldChar w:fldCharType="begin" w:fldLock="1"/>
      </w:r>
      <w:r w:rsidR="00443216" w:rsidRPr="00173C9C">
        <w:instrText xml:space="preserve"> REF _Ref133413268 \n \h </w:instrText>
      </w:r>
      <w:r w:rsidR="00443216">
        <w:instrText xml:space="preserve"> \* MERGEFORMAT </w:instrText>
      </w:r>
      <w:r w:rsidR="00443216" w:rsidRPr="00173C9C">
        <w:fldChar w:fldCharType="separate"/>
      </w:r>
      <w:r w:rsidR="009646BC">
        <w:t>13</w:t>
      </w:r>
      <w:r w:rsidR="00443216" w:rsidRPr="00173C9C">
        <w:fldChar w:fldCharType="end"/>
      </w:r>
      <w:r w:rsidR="00443216" w:rsidRPr="00173C9C">
        <w:t xml:space="preserve"> (</w:t>
      </w:r>
      <w:r w:rsidR="00443216" w:rsidRPr="00C638C0">
        <w:rPr>
          <w:i/>
          <w:iCs/>
        </w:rPr>
        <w:t>Termination Following a CCP Default</w:t>
      </w:r>
      <w:r w:rsidR="00443216" w:rsidRPr="00173C9C">
        <w:t>)</w:t>
      </w:r>
      <w:r w:rsidR="00C638C0">
        <w:t>,</w:t>
      </w:r>
      <w:bookmarkEnd w:id="52"/>
      <w:r w:rsidR="00C638C0">
        <w:t xml:space="preserve"> </w:t>
      </w:r>
    </w:p>
    <w:p w14:paraId="40B02C0E" w14:textId="1381A853" w:rsidR="00443216" w:rsidRDefault="00225B25" w:rsidP="00C638C0">
      <w:pPr>
        <w:pStyle w:val="Level5"/>
        <w:numPr>
          <w:ilvl w:val="0"/>
          <w:numId w:val="0"/>
        </w:numPr>
        <w:ind w:left="2041"/>
      </w:pPr>
      <w:r>
        <w:lastRenderedPageBreak/>
        <w:t xml:space="preserve">in each case </w:t>
      </w:r>
      <w:r w:rsidR="005F75A1">
        <w:t xml:space="preserve">on which </w:t>
      </w:r>
      <w:r w:rsidR="00D14167">
        <w:t>the Firm receives Settled Assets from an Agreed CCP</w:t>
      </w:r>
      <w:r w:rsidR="000754C3">
        <w:t>,</w:t>
      </w:r>
      <w:r w:rsidR="00443216" w:rsidRPr="00173C9C">
        <w:t xml:space="preserve"> </w:t>
      </w:r>
      <w:r w:rsidR="00443216">
        <w:t>which</w:t>
      </w:r>
      <w:r w:rsidR="00443216" w:rsidRPr="00173C9C">
        <w:t xml:space="preserve"> shall be discharged to the extent that </w:t>
      </w:r>
      <w:r w:rsidR="0079290B">
        <w:t>the Title Transfer Balance</w:t>
      </w:r>
      <w:r w:rsidR="00443216" w:rsidRPr="00173C9C">
        <w:t xml:space="preserve"> is</w:t>
      </w:r>
      <w:r w:rsidR="00443216">
        <w:t xml:space="preserve"> applied to satisfy any obligation of the Client to pay a Shortfall Amount to the Firm in accordance with clause </w:t>
      </w:r>
      <w:r w:rsidR="00443216" w:rsidRPr="00C638C0">
        <w:rPr>
          <w:highlight w:val="green"/>
        </w:rPr>
        <w:fldChar w:fldCharType="begin" w:fldLock="1"/>
      </w:r>
      <w:r w:rsidR="00443216">
        <w:instrText xml:space="preserve"> REF _Ref139991361 \r \h </w:instrText>
      </w:r>
      <w:r w:rsidR="00443216" w:rsidRPr="00C638C0">
        <w:rPr>
          <w:highlight w:val="green"/>
        </w:rPr>
      </w:r>
      <w:r w:rsidR="00443216" w:rsidRPr="00C638C0">
        <w:rPr>
          <w:highlight w:val="green"/>
        </w:rPr>
        <w:fldChar w:fldCharType="separate"/>
      </w:r>
      <w:r w:rsidR="009646BC">
        <w:t>15.2</w:t>
      </w:r>
      <w:r w:rsidR="00443216" w:rsidRPr="00C638C0">
        <w:rPr>
          <w:highlight w:val="green"/>
        </w:rPr>
        <w:fldChar w:fldCharType="end"/>
      </w:r>
      <w:r w:rsidR="00443216">
        <w:t xml:space="preserve"> (</w:t>
      </w:r>
      <w:r w:rsidR="00443216" w:rsidRPr="00C638C0">
        <w:rPr>
          <w:i/>
          <w:iCs/>
        </w:rPr>
        <w:t>Settlement of Shortfall Amount</w:t>
      </w:r>
      <w:r w:rsidR="00443216">
        <w:t xml:space="preserve">). </w:t>
      </w:r>
    </w:p>
    <w:p w14:paraId="71F333BF" w14:textId="5B698556" w:rsidR="00C638C0" w:rsidRDefault="00C638C0" w:rsidP="00C638C0">
      <w:pPr>
        <w:pStyle w:val="Level3"/>
      </w:pPr>
      <w:bookmarkStart w:id="53" w:name="_Ref192018352"/>
      <w:r>
        <w:t>The Firm shall only be obliged to transfer Equivalent Title Transfer Assets to the Client pursuant to clause</w:t>
      </w:r>
      <w:r w:rsidR="00142130">
        <w:t xml:space="preserve"> </w:t>
      </w:r>
      <w:r w:rsidR="00142130">
        <w:fldChar w:fldCharType="begin" w:fldLock="1"/>
      </w:r>
      <w:r w:rsidR="00142130">
        <w:instrText xml:space="preserve"> REF _Ref206678240 \r \h </w:instrText>
      </w:r>
      <w:r w:rsidR="00142130">
        <w:fldChar w:fldCharType="separate"/>
      </w:r>
      <w:r w:rsidR="009646BC">
        <w:t>7.2.1</w:t>
      </w:r>
      <w:r w:rsidR="00142130">
        <w:fldChar w:fldCharType="end"/>
      </w:r>
      <w:r>
        <w:t xml:space="preserve"> if and to the extent that</w:t>
      </w:r>
      <w:r w:rsidRPr="00315EAE">
        <w:t xml:space="preserve"> </w:t>
      </w:r>
      <w:r>
        <w:t>the Firm determines that</w:t>
      </w:r>
      <w:r w:rsidR="00A9051A">
        <w:t>, immediately following such transfer, the Title Transfer Balance Value shall be at least equal to the Margin Requirement.</w:t>
      </w:r>
      <w:r>
        <w:rPr>
          <w:rStyle w:val="FootnoteReference"/>
        </w:rPr>
        <w:footnoteReference w:id="14"/>
      </w:r>
      <w:bookmarkStart w:id="54" w:name="_Ref172803207"/>
      <w:bookmarkEnd w:id="53"/>
    </w:p>
    <w:p w14:paraId="6F124F0D" w14:textId="1F022F20" w:rsidR="00F84D5F" w:rsidRPr="00315EAE" w:rsidRDefault="003A744E" w:rsidP="004327E0">
      <w:pPr>
        <w:pStyle w:val="Level3"/>
      </w:pPr>
      <w:bookmarkStart w:id="55" w:name="_Ref172803213"/>
      <w:bookmarkEnd w:id="54"/>
      <w:r>
        <w:t>The Firm shall</w:t>
      </w:r>
      <w:r w:rsidR="001848A3">
        <w:t>, notwithstanding any other provision of this Client Clearing Agreement,</w:t>
      </w:r>
      <w:r>
        <w:t xml:space="preserve"> not be required to transfer Equivalent Title Transfer Assets under this </w:t>
      </w:r>
      <w:r w:rsidR="00072106">
        <w:t xml:space="preserve">Client Clearing </w:t>
      </w:r>
      <w:r>
        <w:t xml:space="preserve">Agreement </w:t>
      </w:r>
      <w:r w:rsidR="00E80F72">
        <w:t>of a Value that exceeds</w:t>
      </w:r>
      <w:r>
        <w:t xml:space="preserve"> the Title Transfer </w:t>
      </w:r>
      <w:r w:rsidR="00E80F72">
        <w:t xml:space="preserve">Balance </w:t>
      </w:r>
      <w:r w:rsidR="001848A3">
        <w:t>Value</w:t>
      </w:r>
      <w:r w:rsidR="00C638C0">
        <w:t xml:space="preserve"> and the Firm’s outstanding liability to the Client in respect of the Title Transfer Balance shall at all times be limited to the Title Transfer Balance Value</w:t>
      </w:r>
      <w:r>
        <w:t>.</w:t>
      </w:r>
      <w:bookmarkEnd w:id="55"/>
    </w:p>
    <w:p w14:paraId="4EC22EEF" w14:textId="71600995" w:rsidR="00F84D5F" w:rsidRPr="0085724A" w:rsidRDefault="00E83308" w:rsidP="0085724A">
      <w:pPr>
        <w:pStyle w:val="Level2"/>
        <w:rPr>
          <w:b/>
          <w:bCs/>
          <w:i/>
          <w:iCs/>
        </w:rPr>
      </w:pPr>
      <w:bookmarkStart w:id="56" w:name="_Ref133242584"/>
      <w:r w:rsidRPr="0085724A">
        <w:rPr>
          <w:b/>
          <w:bCs/>
          <w:i/>
          <w:iCs/>
        </w:rPr>
        <w:t>T</w:t>
      </w:r>
      <w:r w:rsidR="00DF0268" w:rsidRPr="0085724A">
        <w:rPr>
          <w:b/>
          <w:bCs/>
          <w:i/>
          <w:iCs/>
        </w:rPr>
        <w:t xml:space="preserve">reatment of </w:t>
      </w:r>
      <w:r w:rsidR="00F84D5F" w:rsidRPr="0085724A">
        <w:rPr>
          <w:b/>
          <w:bCs/>
          <w:i/>
          <w:iCs/>
        </w:rPr>
        <w:t>Distributions</w:t>
      </w:r>
      <w:r w:rsidR="00442EB9">
        <w:rPr>
          <w:b/>
          <w:bCs/>
          <w:i/>
          <w:iCs/>
        </w:rPr>
        <w:t xml:space="preserve"> and</w:t>
      </w:r>
      <w:r w:rsidR="00F84D5F" w:rsidRPr="0085724A">
        <w:rPr>
          <w:b/>
          <w:bCs/>
          <w:i/>
          <w:iCs/>
        </w:rPr>
        <w:t xml:space="preserve"> interest:</w:t>
      </w:r>
      <w:bookmarkEnd w:id="56"/>
      <w:r w:rsidR="00F84D5F" w:rsidRPr="0085724A">
        <w:rPr>
          <w:b/>
          <w:bCs/>
          <w:i/>
          <w:iCs/>
        </w:rPr>
        <w:t xml:space="preserve"> </w:t>
      </w:r>
    </w:p>
    <w:p w14:paraId="0A8F72B9" w14:textId="167F4583" w:rsidR="00F84D5F" w:rsidRDefault="00F84D5F" w:rsidP="00623726">
      <w:pPr>
        <w:pStyle w:val="Level3"/>
      </w:pPr>
      <w:bookmarkStart w:id="57" w:name="_Ref133413532"/>
      <w:r w:rsidRPr="00314E44">
        <w:rPr>
          <w:b/>
          <w:bCs/>
          <w:i/>
          <w:iCs/>
        </w:rPr>
        <w:t>Distributions:</w:t>
      </w:r>
      <w:r>
        <w:t xml:space="preserve"> If a holder of securities comprised in the </w:t>
      </w:r>
      <w:r w:rsidR="000E0179">
        <w:t>Title Transfer Balance</w:t>
      </w:r>
      <w:r w:rsidR="00C50888">
        <w:t xml:space="preserve"> </w:t>
      </w:r>
      <w:r>
        <w:t>would receive payments or distributions of cash or other property on any day (</w:t>
      </w:r>
      <w:r w:rsidR="00E1770F">
        <w:t xml:space="preserve">each such payment or distribution, a </w:t>
      </w:r>
      <w:r w:rsidR="00881148">
        <w:t>“</w:t>
      </w:r>
      <w:r w:rsidRPr="00314E44">
        <w:rPr>
          <w:b/>
          <w:bCs/>
        </w:rPr>
        <w:t>Distribution</w:t>
      </w:r>
      <w:r w:rsidR="00881148">
        <w:t>”</w:t>
      </w:r>
      <w:r>
        <w:t>):</w:t>
      </w:r>
      <w:bookmarkEnd w:id="57"/>
    </w:p>
    <w:p w14:paraId="3C30EC43" w14:textId="15E9F294" w:rsidR="00F84D5F" w:rsidRDefault="006156E8" w:rsidP="001A0472">
      <w:pPr>
        <w:pStyle w:val="Level4"/>
      </w:pPr>
      <w:bookmarkStart w:id="58" w:name="_Ref133413758"/>
      <w:r>
        <w:t xml:space="preserve">the Firm will </w:t>
      </w:r>
      <w:r w:rsidR="00F84D5F">
        <w:t>treat any cash, securities or other property of the same type, nominal value, description and amount as any Distributions (less any deductions on account of tax) (</w:t>
      </w:r>
      <w:r w:rsidR="00881148">
        <w:t>“</w:t>
      </w:r>
      <w:r w:rsidR="00F84D5F" w:rsidRPr="00BA6EBB">
        <w:rPr>
          <w:b/>
          <w:bCs/>
        </w:rPr>
        <w:t>Equivalent Distributions</w:t>
      </w:r>
      <w:r w:rsidR="00881148">
        <w:t>”</w:t>
      </w:r>
      <w:r w:rsidR="00F84D5F">
        <w:t xml:space="preserve">) as an addition to the </w:t>
      </w:r>
      <w:r w:rsidR="0045037E">
        <w:t>Title Transfer A</w:t>
      </w:r>
      <w:r w:rsidR="00D36052">
        <w:t>ssets</w:t>
      </w:r>
      <w:r w:rsidR="0045037E">
        <w:t xml:space="preserve"> </w:t>
      </w:r>
      <w:r w:rsidR="001B3A0A">
        <w:t>received by the</w:t>
      </w:r>
      <w:r w:rsidR="00F84D5F">
        <w:t xml:space="preserve"> Firm</w:t>
      </w:r>
      <w:r w:rsidR="001B3A0A">
        <w:t xml:space="preserve"> </w:t>
      </w:r>
      <w:r w:rsidR="00F84D5F">
        <w:t>once the Firm has credited the Equivalent Distributions to the relevant account; and</w:t>
      </w:r>
      <w:bookmarkEnd w:id="58"/>
    </w:p>
    <w:p w14:paraId="3BE4A400" w14:textId="20D0C8A4" w:rsidR="00F84D5F" w:rsidRDefault="006156E8" w:rsidP="001A0472">
      <w:pPr>
        <w:pStyle w:val="Level4"/>
      </w:pPr>
      <w:r>
        <w:t xml:space="preserve">the Firm will </w:t>
      </w:r>
      <w:r w:rsidR="00F84D5F">
        <w:t>transfer to the Client any Equivalent Distributions (other than distributions of principal) within the time period as may be specified by the Firm from time to time (or, if no such period has been specified, on the first Business Day after they have been credited to the relevant account).</w:t>
      </w:r>
    </w:p>
    <w:p w14:paraId="33CBDE87" w14:textId="31D6B385" w:rsidR="005370C6" w:rsidRDefault="00F84D5F" w:rsidP="004C0F61">
      <w:pPr>
        <w:pStyle w:val="Level3"/>
      </w:pPr>
      <w:bookmarkStart w:id="59" w:name="_Ref133242852"/>
      <w:r w:rsidRPr="00CB2A0A">
        <w:rPr>
          <w:b/>
          <w:bCs/>
          <w:i/>
          <w:iCs/>
        </w:rPr>
        <w:t>Interest:</w:t>
      </w:r>
      <w:r>
        <w:t xml:space="preserve"> The Firm will treat an amount equal to any interest payable in respect of cash comprised in the </w:t>
      </w:r>
      <w:r w:rsidR="007918B0">
        <w:t>Title Transfer Balance</w:t>
      </w:r>
      <w:r w:rsidR="00CA0B4C">
        <w:t xml:space="preserve"> </w:t>
      </w:r>
      <w:r>
        <w:t xml:space="preserve">as an addition to the Title Transfer </w:t>
      </w:r>
      <w:r w:rsidR="00990176">
        <w:t xml:space="preserve">Assets </w:t>
      </w:r>
      <w:r w:rsidR="001B3A0A">
        <w:t xml:space="preserve">received </w:t>
      </w:r>
      <w:r>
        <w:t xml:space="preserve">by </w:t>
      </w:r>
      <w:r w:rsidR="001B3A0A">
        <w:t>the Firm</w:t>
      </w:r>
      <w:r>
        <w:t xml:space="preserve"> upon it being credited to the relevant account. The Firm may charge the Client for </w:t>
      </w:r>
      <w:r w:rsidR="00C638C0">
        <w:t xml:space="preserve">interest on any negative cash balance in the Title Transfer Balance and such funding costs as it may determine in respect of any negative balance in respect of a non-cash asset in the Title Transfer Balance [and </w:t>
      </w:r>
      <w:r>
        <w:t>any negative interest it incurs as a result of taking cash margin from the Client.]</w:t>
      </w:r>
      <w:r w:rsidR="00436ED5">
        <w:rPr>
          <w:rStyle w:val="FootnoteReference"/>
        </w:rPr>
        <w:footnoteReference w:id="15"/>
      </w:r>
      <w:r>
        <w:t xml:space="preserve"> The Firm will transfer to the Client after the date any interest is treated as comprised in the </w:t>
      </w:r>
      <w:r w:rsidR="00664962">
        <w:t xml:space="preserve">Title Transfer Balance </w:t>
      </w:r>
      <w:r>
        <w:t xml:space="preserve">an amount equal to that interest within the time period which may be specified by the Firm from time to time (or, if no such period has been </w:t>
      </w:r>
      <w:r>
        <w:lastRenderedPageBreak/>
        <w:t>specified, on the first Business Day after the interest is credited to the relevant account).</w:t>
      </w:r>
      <w:bookmarkEnd w:id="59"/>
    </w:p>
    <w:p w14:paraId="41387E12" w14:textId="60636905" w:rsidR="00F84D5F" w:rsidRDefault="00F84D5F" w:rsidP="00094771">
      <w:pPr>
        <w:pStyle w:val="Level2"/>
      </w:pPr>
      <w:r w:rsidRPr="00CB2A0A">
        <w:rPr>
          <w:b/>
          <w:bCs/>
          <w:i/>
          <w:iCs/>
        </w:rPr>
        <w:t>Substitution:</w:t>
      </w:r>
      <w:r>
        <w:t xml:space="preserve"> The Client may, with the Firm</w:t>
      </w:r>
      <w:r w:rsidR="00881148">
        <w:t>’</w:t>
      </w:r>
      <w:r>
        <w:t xml:space="preserve">s prior </w:t>
      </w:r>
      <w:r w:rsidR="005C7C09">
        <w:t>[written]</w:t>
      </w:r>
      <w:r w:rsidR="00436ED5">
        <w:rPr>
          <w:rStyle w:val="FootnoteReference"/>
        </w:rPr>
        <w:footnoteReference w:id="16"/>
      </w:r>
      <w:r w:rsidR="005C7C09">
        <w:t xml:space="preserve"> </w:t>
      </w:r>
      <w:r>
        <w:t xml:space="preserve">consent, transfer to the Firm replacement Acceptable Margin in substitution for </w:t>
      </w:r>
      <w:r w:rsidR="004C757A">
        <w:t>the Title Transfer Balance</w:t>
      </w:r>
      <w:r w:rsidR="00C908EF">
        <w:t xml:space="preserve"> </w:t>
      </w:r>
      <w:r>
        <w:t xml:space="preserve">with the same or greater Value provided by the Client, whereupon the Firm will transfer Equivalent </w:t>
      </w:r>
      <w:r w:rsidR="00731607">
        <w:t xml:space="preserve">Title Transfer Assets </w:t>
      </w:r>
      <w:r>
        <w:t xml:space="preserve">of the requested Value to the Client, provided that the requested Value of Equivalent </w:t>
      </w:r>
      <w:r w:rsidR="00731607">
        <w:t xml:space="preserve">Title Transfer Assets </w:t>
      </w:r>
      <w:r>
        <w:t xml:space="preserve">is the same as or lesser than the Value of the Acceptable Margin. </w:t>
      </w:r>
    </w:p>
    <w:p w14:paraId="1E8103D8" w14:textId="77777777" w:rsidR="00B83A99" w:rsidRDefault="00F84D5F" w:rsidP="00094771">
      <w:pPr>
        <w:pStyle w:val="Level2"/>
      </w:pPr>
      <w:bookmarkStart w:id="60" w:name="_Ref152001357"/>
      <w:bookmarkStart w:id="61" w:name="_Ref151484302"/>
      <w:r w:rsidRPr="00CB2A0A">
        <w:rPr>
          <w:b/>
          <w:bCs/>
          <w:i/>
          <w:iCs/>
        </w:rPr>
        <w:t>Return of alternative margin:</w:t>
      </w:r>
      <w:bookmarkEnd w:id="60"/>
      <w:r>
        <w:t xml:space="preserve"> </w:t>
      </w:r>
    </w:p>
    <w:p w14:paraId="79DD3FAA" w14:textId="1974A41B" w:rsidR="00DD5C69" w:rsidRDefault="00B83A99" w:rsidP="00B83A99">
      <w:pPr>
        <w:pStyle w:val="Level3"/>
      </w:pPr>
      <w:bookmarkStart w:id="62" w:name="_Ref152007719"/>
      <w:r>
        <w:t>Unless</w:t>
      </w:r>
      <w:r w:rsidR="00F939B7">
        <w:t>:</w:t>
      </w:r>
      <w:r>
        <w:t xml:space="preserve"> </w:t>
      </w:r>
      <w:r w:rsidR="000949A1">
        <w:t>(</w:t>
      </w:r>
      <w:r w:rsidR="00F939B7">
        <w:t>i</w:t>
      </w:r>
      <w:r w:rsidR="000949A1">
        <w:t>)</w:t>
      </w:r>
      <w:r w:rsidR="000949A1" w:rsidRPr="000949A1">
        <w:t xml:space="preserve"> </w:t>
      </w:r>
      <w:r w:rsidR="00881148">
        <w:t>“</w:t>
      </w:r>
      <w:r w:rsidR="000949A1">
        <w:t>Alternative Margin</w:t>
      </w:r>
      <w:r w:rsidR="00881148">
        <w:t>”</w:t>
      </w:r>
      <w:r w:rsidR="000949A1" w:rsidRPr="000949A1">
        <w:t xml:space="preserve"> is selected </w:t>
      </w:r>
      <w:r>
        <w:t xml:space="preserve">as </w:t>
      </w:r>
      <w:r w:rsidR="00F96A5F">
        <w:t xml:space="preserve">“Not Applicable” </w:t>
      </w:r>
      <w:r w:rsidR="000949A1" w:rsidRPr="000949A1">
        <w:t>in the Annex</w:t>
      </w:r>
      <w:r w:rsidR="00F939B7">
        <w:t>;</w:t>
      </w:r>
      <w:r w:rsidR="000949A1" w:rsidRPr="000949A1">
        <w:t xml:space="preserve"> </w:t>
      </w:r>
      <w:r w:rsidR="000949A1">
        <w:t>and</w:t>
      </w:r>
      <w:r w:rsidR="005957C2">
        <w:t>/or</w:t>
      </w:r>
      <w:r w:rsidR="000949A1">
        <w:t xml:space="preserve"> (</w:t>
      </w:r>
      <w:r w:rsidR="00F939B7">
        <w:t>ii</w:t>
      </w:r>
      <w:r w:rsidR="000949A1">
        <w:t xml:space="preserve">) </w:t>
      </w:r>
      <w:r w:rsidR="00F84D5F">
        <w:t xml:space="preserve">applicable Rules </w:t>
      </w:r>
      <w:r w:rsidR="00F96A5F">
        <w:t xml:space="preserve">do not </w:t>
      </w:r>
      <w:r w:rsidR="00F84D5F">
        <w:t xml:space="preserve">allow a Clearing Service to deliver margin of a different type and description to the margin posted to the Agreed CCP Service, then (notwithstanding any provision of this </w:t>
      </w:r>
      <w:r w:rsidR="00072106">
        <w:t xml:space="preserve">Client Clearing </w:t>
      </w:r>
      <w:r w:rsidR="00F84D5F">
        <w:t xml:space="preserve">Agreement requiring the Firm to deliver Equivalent </w:t>
      </w:r>
      <w:r w:rsidR="00C41CFD">
        <w:t>Title Transfer Assets</w:t>
      </w:r>
      <w:r w:rsidR="00C41CFD" w:rsidDel="00C41CFD">
        <w:t xml:space="preserve"> </w:t>
      </w:r>
      <w:r w:rsidR="00F84D5F">
        <w:t xml:space="preserve">to the Client) the Firm may deliver to the Client margin of other types and descriptions, provided that the aggregate value of delivered margin is no less than the Value of the Equivalent </w:t>
      </w:r>
      <w:r w:rsidR="00C41CFD">
        <w:t>Title Transfer Assets</w:t>
      </w:r>
      <w:r w:rsidR="00C41CFD" w:rsidDel="00C41CFD">
        <w:t xml:space="preserve"> </w:t>
      </w:r>
      <w:r w:rsidR="00F84D5F">
        <w:t xml:space="preserve">otherwise deliverable. If the Client delivers more than one type of </w:t>
      </w:r>
      <w:r w:rsidR="004A6CDB">
        <w:t xml:space="preserve">Title Transfer Asset </w:t>
      </w:r>
      <w:r w:rsidR="00F84D5F">
        <w:t xml:space="preserve">to the Firm in respect of a Clearing Service and the Firm is obliged to return </w:t>
      </w:r>
      <w:r w:rsidR="00366ECC">
        <w:t>Equivalent</w:t>
      </w:r>
      <w:r w:rsidR="00F84D5F">
        <w:t xml:space="preserve"> </w:t>
      </w:r>
      <w:r w:rsidR="004A6CDB">
        <w:t>Title Transfer Asset</w:t>
      </w:r>
      <w:r w:rsidR="00366ECC">
        <w:t>s in part</w:t>
      </w:r>
      <w:r w:rsidR="004A6CDB">
        <w:t xml:space="preserve"> </w:t>
      </w:r>
      <w:r w:rsidR="00F84D5F">
        <w:t xml:space="preserve">to the Client, the Firm will be entitled to choose which Equivalent </w:t>
      </w:r>
      <w:r w:rsidR="00C41CFD">
        <w:t>Title Transfer Assets</w:t>
      </w:r>
      <w:r w:rsidR="00C41CFD" w:rsidDel="00C41CFD">
        <w:t xml:space="preserve"> </w:t>
      </w:r>
      <w:r w:rsidR="00F84D5F">
        <w:t>it uses to satisfy the relevant return obligation.</w:t>
      </w:r>
      <w:bookmarkEnd w:id="61"/>
      <w:bookmarkEnd w:id="62"/>
      <w:r w:rsidR="00EB5BA6">
        <w:t xml:space="preserve"> In each case, and regardless of the assets t</w:t>
      </w:r>
      <w:r w:rsidR="00694FB1">
        <w:t>he Firm transfers to the Client, the Title Transfer Balance shall be reduced by the Equivalent Title Transfer Assets.</w:t>
      </w:r>
    </w:p>
    <w:p w14:paraId="6A779C50" w14:textId="19BB04CD" w:rsidR="00E1723F" w:rsidRDefault="00F96A5F" w:rsidP="00B83A99">
      <w:pPr>
        <w:pStyle w:val="Level3"/>
      </w:pPr>
      <w:bookmarkStart w:id="63" w:name="_Ref152007700"/>
      <w:r>
        <w:t xml:space="preserve">If </w:t>
      </w:r>
      <w:r w:rsidR="00C96098">
        <w:t>“Alternative Margin”</w:t>
      </w:r>
      <w:r w:rsidR="00C96098" w:rsidRPr="000949A1">
        <w:t xml:space="preserve"> is selected </w:t>
      </w:r>
      <w:r w:rsidR="00C96098">
        <w:t>as “</w:t>
      </w:r>
      <w:r w:rsidR="001F20FD">
        <w:t xml:space="preserve">Not </w:t>
      </w:r>
      <w:r w:rsidR="00C96098">
        <w:t xml:space="preserve">Applicable” </w:t>
      </w:r>
      <w:r w:rsidR="00C96098" w:rsidRPr="000949A1">
        <w:t>in the Annex</w:t>
      </w:r>
      <w:r w:rsidR="00C96098">
        <w:t>, then</w:t>
      </w:r>
      <w:r w:rsidR="00812AEB">
        <w:t xml:space="preserve"> </w:t>
      </w:r>
      <w:r w:rsidR="00617FE6">
        <w:t xml:space="preserve">if </w:t>
      </w:r>
      <w:r w:rsidR="00414A8C">
        <w:t xml:space="preserve">the Agreed CCP Service </w:t>
      </w:r>
      <w:r w:rsidR="002863B9">
        <w:t xml:space="preserve">delivers to the Firm </w:t>
      </w:r>
      <w:r w:rsidR="007940CA">
        <w:t xml:space="preserve">margin </w:t>
      </w:r>
      <w:r w:rsidR="00164C5A">
        <w:t xml:space="preserve">of a different type and description </w:t>
      </w:r>
      <w:r w:rsidR="000E0D16">
        <w:t>(</w:t>
      </w:r>
      <w:r w:rsidR="00831589">
        <w:t xml:space="preserve">the </w:t>
      </w:r>
      <w:r w:rsidR="000E0D16">
        <w:t>“</w:t>
      </w:r>
      <w:r w:rsidR="000E0D16">
        <w:rPr>
          <w:b/>
          <w:bCs/>
        </w:rPr>
        <w:t xml:space="preserve">Non-equivalent </w:t>
      </w:r>
      <w:r w:rsidR="000E0D16" w:rsidRPr="00C41CFD">
        <w:rPr>
          <w:b/>
          <w:bCs/>
        </w:rPr>
        <w:t>Title Transfer Assets</w:t>
      </w:r>
      <w:r w:rsidR="000E0D16">
        <w:t xml:space="preserve">”) </w:t>
      </w:r>
      <w:r w:rsidR="00164C5A">
        <w:t xml:space="preserve">to the margin posted to the Agreed CCP Service </w:t>
      </w:r>
      <w:r w:rsidR="008A5B1C">
        <w:t>(</w:t>
      </w:r>
      <w:r w:rsidR="00831589">
        <w:t xml:space="preserve">the </w:t>
      </w:r>
      <w:r w:rsidR="008A5B1C">
        <w:t>“</w:t>
      </w:r>
      <w:r w:rsidR="000E0D16">
        <w:rPr>
          <w:b/>
          <w:bCs/>
        </w:rPr>
        <w:t>Posted Margin</w:t>
      </w:r>
      <w:r w:rsidR="007940CA">
        <w:t>”)</w:t>
      </w:r>
      <w:r w:rsidR="00086F8C">
        <w:t xml:space="preserve"> the Firm </w:t>
      </w:r>
      <w:r w:rsidR="00BE5AB4">
        <w:t>will</w:t>
      </w:r>
      <w:r w:rsidR="00365B0A">
        <w:t xml:space="preserve"> on the day of receipt of such Non-equivalent </w:t>
      </w:r>
      <w:r w:rsidR="00C41CFD">
        <w:t>Title Transfer Assets</w:t>
      </w:r>
      <w:r w:rsidR="00E1723F">
        <w:t>:</w:t>
      </w:r>
      <w:bookmarkEnd w:id="63"/>
      <w:r w:rsidR="00E1723F">
        <w:t xml:space="preserve"> </w:t>
      </w:r>
    </w:p>
    <w:p w14:paraId="3E5876DD" w14:textId="65069C8F" w:rsidR="00F96A5F" w:rsidRDefault="00BE5AB4" w:rsidP="00E1723F">
      <w:pPr>
        <w:pStyle w:val="Level4"/>
      </w:pPr>
      <w:r>
        <w:t xml:space="preserve">record </w:t>
      </w:r>
      <w:r w:rsidR="00D61927">
        <w:t>the</w:t>
      </w:r>
      <w:r w:rsidR="00E1723F">
        <w:t xml:space="preserve"> </w:t>
      </w:r>
      <w:r w:rsidR="003F6C03" w:rsidRPr="00AF377C">
        <w:t>Non-equivalent</w:t>
      </w:r>
      <w:r w:rsidR="00AF377C" w:rsidRPr="00AF377C">
        <w:t xml:space="preserve"> </w:t>
      </w:r>
      <w:r w:rsidR="00C41CFD">
        <w:t xml:space="preserve">Title Transfer Assets </w:t>
      </w:r>
      <w:r>
        <w:t>to the Title Transfer Balance</w:t>
      </w:r>
      <w:r w:rsidR="00365B0A">
        <w:t xml:space="preserve">; </w:t>
      </w:r>
    </w:p>
    <w:p w14:paraId="339F6C6C" w14:textId="00669836" w:rsidR="00365B0A" w:rsidRDefault="000274DE" w:rsidP="00E1723F">
      <w:pPr>
        <w:pStyle w:val="Level4"/>
      </w:pPr>
      <w:r>
        <w:t xml:space="preserve">calculate the Value of </w:t>
      </w:r>
      <w:r w:rsidR="00D61927">
        <w:t>the</w:t>
      </w:r>
      <w:r>
        <w:t xml:space="preserve"> </w:t>
      </w:r>
      <w:r w:rsidRPr="00AF377C">
        <w:t xml:space="preserve">Non-equivalent </w:t>
      </w:r>
      <w:r w:rsidR="00C41CFD">
        <w:t>Title Transfer Assets</w:t>
      </w:r>
      <w:r>
        <w:t>; and</w:t>
      </w:r>
    </w:p>
    <w:p w14:paraId="44C5EA94" w14:textId="79C51837" w:rsidR="000274DE" w:rsidRDefault="00A2463E" w:rsidP="004C0F61">
      <w:pPr>
        <w:pStyle w:val="Level4"/>
      </w:pPr>
      <w:r>
        <w:t xml:space="preserve">substitute </w:t>
      </w:r>
      <w:r w:rsidR="00360221">
        <w:t>the Non-equiv</w:t>
      </w:r>
      <w:r w:rsidR="00D61927">
        <w:t xml:space="preserve">alent </w:t>
      </w:r>
      <w:r w:rsidR="00C41CFD">
        <w:t>Title Transfer Assets</w:t>
      </w:r>
      <w:r w:rsidR="0069012C">
        <w:t xml:space="preserve"> (by removing them from the Title Transfer Balance)</w:t>
      </w:r>
      <w:r w:rsidR="00C41CFD">
        <w:t xml:space="preserve"> </w:t>
      </w:r>
      <w:r w:rsidR="008C3265">
        <w:t xml:space="preserve">for Equivalent </w:t>
      </w:r>
      <w:r w:rsidR="00C41CFD">
        <w:t>Title Transfer Assets</w:t>
      </w:r>
      <w:r w:rsidR="005B6AF8">
        <w:t xml:space="preserve"> (that are equivalent to the Posted Margin that was not returned)</w:t>
      </w:r>
      <w:r w:rsidR="00C41CFD">
        <w:t xml:space="preserve"> </w:t>
      </w:r>
      <w:r w:rsidR="008C3265">
        <w:t xml:space="preserve">of the same aggregate </w:t>
      </w:r>
      <w:r w:rsidR="005B6AF8">
        <w:t>V</w:t>
      </w:r>
      <w:r w:rsidR="008C3265">
        <w:t xml:space="preserve">alue </w:t>
      </w:r>
      <w:r w:rsidR="005B6AF8">
        <w:t xml:space="preserve">as at the date of substitution </w:t>
      </w:r>
      <w:r w:rsidR="008C3265">
        <w:t xml:space="preserve">as the Non-equivalent </w:t>
      </w:r>
      <w:r w:rsidR="00C41CFD">
        <w:t>Title Transfer Assets</w:t>
      </w:r>
      <w:r w:rsidR="005B6AF8">
        <w:t xml:space="preserve"> (by crediting the Equivalent Title Transfer Assets to the Title Transfer Balance)</w:t>
      </w:r>
      <w:r w:rsidR="00C21D73">
        <w:t>.</w:t>
      </w:r>
    </w:p>
    <w:p w14:paraId="0DD3E4C0" w14:textId="329B051F" w:rsidR="00630B49" w:rsidRPr="00A91310" w:rsidRDefault="00630B49" w:rsidP="003E2F3C">
      <w:pPr>
        <w:pStyle w:val="Level2"/>
      </w:pPr>
      <w:bookmarkStart w:id="64" w:name="_Ref165537462"/>
      <w:r>
        <w:rPr>
          <w:b/>
          <w:bCs/>
          <w:i/>
          <w:iCs/>
        </w:rPr>
        <w:t>Inapplicability of Client Money Rules</w:t>
      </w:r>
      <w:bookmarkEnd w:id="64"/>
      <w:r w:rsidR="00786AC8">
        <w:rPr>
          <w:b/>
          <w:bCs/>
          <w:i/>
          <w:iCs/>
        </w:rPr>
        <w:t>:</w:t>
      </w:r>
    </w:p>
    <w:p w14:paraId="6CCED1BC" w14:textId="4267E89F" w:rsidR="003E2F3C" w:rsidRDefault="003E2F3C" w:rsidP="0092548A">
      <w:pPr>
        <w:pStyle w:val="Level3"/>
      </w:pPr>
      <w:r w:rsidRPr="00630B49">
        <w:rPr>
          <w:b/>
          <w:bCs/>
          <w:i/>
          <w:iCs/>
        </w:rPr>
        <w:t xml:space="preserve">Title transfer of cash: </w:t>
      </w:r>
      <w:r>
        <w:t>Without limiting the applicability of clause</w:t>
      </w:r>
      <w:r w:rsidR="00E20769">
        <w:t xml:space="preserve"> </w:t>
      </w:r>
      <w:r w:rsidR="00E20769">
        <w:fldChar w:fldCharType="begin" w:fldLock="1"/>
      </w:r>
      <w:r w:rsidR="00E20769">
        <w:instrText xml:space="preserve"> REF _Ref165537350 \r \h </w:instrText>
      </w:r>
      <w:r w:rsidR="00E20769">
        <w:fldChar w:fldCharType="separate"/>
      </w:r>
      <w:r w:rsidR="009646BC">
        <w:t>8</w:t>
      </w:r>
      <w:r w:rsidR="00E20769">
        <w:fldChar w:fldCharType="end"/>
      </w:r>
      <w:r w:rsidR="00E20769">
        <w:t xml:space="preserve"> </w:t>
      </w:r>
      <w:r>
        <w:t>(</w:t>
      </w:r>
      <w:r w:rsidR="001505AF">
        <w:rPr>
          <w:i/>
          <w:iCs/>
        </w:rPr>
        <w:t>Settled</w:t>
      </w:r>
      <w:r w:rsidR="00FF5788">
        <w:rPr>
          <w:i/>
          <w:iCs/>
        </w:rPr>
        <w:t xml:space="preserve"> </w:t>
      </w:r>
      <w:r w:rsidRPr="00630B49">
        <w:rPr>
          <w:i/>
          <w:iCs/>
        </w:rPr>
        <w:t>Assets</w:t>
      </w:r>
      <w:r w:rsidRPr="00CC61F4">
        <w:t>)</w:t>
      </w:r>
      <w:r>
        <w:t>, w</w:t>
      </w:r>
      <w:r w:rsidRPr="002A4483">
        <w:t>hen</w:t>
      </w:r>
      <w:r>
        <w:t xml:space="preserve"> the Client transfers money to the Firm, or money is paid to the Firm on the Client's behalf, the Client agrees that the Firm will not hold that money in accordance with the Client Money Rules. </w:t>
      </w:r>
    </w:p>
    <w:p w14:paraId="5550F888" w14:textId="033CF087" w:rsidR="003E2F3C" w:rsidRDefault="003E2F3C" w:rsidP="0092548A">
      <w:pPr>
        <w:pStyle w:val="Level3"/>
      </w:pPr>
      <w:bookmarkStart w:id="65" w:name="_Ref139919691"/>
      <w:r w:rsidRPr="00630B49">
        <w:rPr>
          <w:b/>
          <w:bCs/>
          <w:i/>
          <w:iCs/>
        </w:rPr>
        <w:lastRenderedPageBreak/>
        <w:t xml:space="preserve">Insolvency treatment: </w:t>
      </w:r>
      <w:r>
        <w:t>In the event of the Firm’s insolvency, the Client will only have an unsecured claim against the Firm for payment of that money[, and that claim will be subject to the exercise by the Firm of any set-off rights the Firm may have under this Client Clearing Agreement or under general law]</w:t>
      </w:r>
      <w:r>
        <w:rPr>
          <w:rStyle w:val="FootnoteReference"/>
        </w:rPr>
        <w:footnoteReference w:id="17"/>
      </w:r>
      <w:r>
        <w:t>.</w:t>
      </w:r>
      <w:bookmarkEnd w:id="65"/>
    </w:p>
    <w:p w14:paraId="73703F9D" w14:textId="59EDF308" w:rsidR="0012251F" w:rsidRPr="0099419D" w:rsidRDefault="00FC2897" w:rsidP="00094771">
      <w:pPr>
        <w:pStyle w:val="Level2"/>
      </w:pPr>
      <w:r w:rsidRPr="00A91310">
        <w:t>[</w:t>
      </w:r>
      <w:r w:rsidR="0012251F" w:rsidRPr="00CB2A0A">
        <w:rPr>
          <w:b/>
          <w:bCs/>
          <w:i/>
          <w:iCs/>
        </w:rPr>
        <w:t xml:space="preserve">Financial </w:t>
      </w:r>
      <w:r w:rsidRPr="00CB2A0A">
        <w:rPr>
          <w:b/>
          <w:bCs/>
          <w:i/>
          <w:iCs/>
        </w:rPr>
        <w:t>collateral arrangements:</w:t>
      </w:r>
      <w:r w:rsidRPr="0099419D">
        <w:t xml:space="preserve"> The Parties intend that the arrangements</w:t>
      </w:r>
      <w:r w:rsidR="00004489" w:rsidRPr="00094771">
        <w:t xml:space="preserve"> constituted by this </w:t>
      </w:r>
      <w:r w:rsidR="00622B03">
        <w:t>Client Clearing</w:t>
      </w:r>
      <w:r w:rsidR="00622B03" w:rsidRPr="00094771">
        <w:t xml:space="preserve"> </w:t>
      </w:r>
      <w:r w:rsidR="00004489" w:rsidRPr="00094771">
        <w:t>Agreement</w:t>
      </w:r>
      <w:r w:rsidRPr="0099419D">
        <w:t xml:space="preserve"> </w:t>
      </w:r>
      <w:r w:rsidRPr="00094771">
        <w:t>pursuant to which the</w:t>
      </w:r>
      <w:r w:rsidRPr="0099419D">
        <w:t xml:space="preserve"> Client transfers </w:t>
      </w:r>
      <w:r w:rsidRPr="00094771">
        <w:t xml:space="preserve">to the Firm </w:t>
      </w:r>
      <w:r w:rsidR="004A4912">
        <w:t>c</w:t>
      </w:r>
      <w:r w:rsidRPr="0099419D">
        <w:t xml:space="preserve">ash and Acceptable Margin in satisfaction of its obligations under clause </w:t>
      </w:r>
      <w:r w:rsidRPr="0099419D">
        <w:fldChar w:fldCharType="begin" w:fldLock="1"/>
      </w:r>
      <w:r w:rsidRPr="0099419D">
        <w:instrText xml:space="preserve"> REF _Ref133237982 \r \h </w:instrText>
      </w:r>
      <w:r w:rsidRPr="00094771">
        <w:instrText xml:space="preserve"> \* MERGEFORMAT </w:instrText>
      </w:r>
      <w:r w:rsidRPr="0099419D">
        <w:fldChar w:fldCharType="separate"/>
      </w:r>
      <w:r w:rsidR="009646BC">
        <w:t>6</w:t>
      </w:r>
      <w:r w:rsidRPr="0099419D">
        <w:fldChar w:fldCharType="end"/>
      </w:r>
      <w:r w:rsidRPr="0099419D">
        <w:t xml:space="preserve"> (</w:t>
      </w:r>
      <w:r w:rsidR="00881148">
        <w:rPr>
          <w:i/>
          <w:iCs/>
        </w:rPr>
        <w:t xml:space="preserve">Settlement and </w:t>
      </w:r>
      <w:r w:rsidRPr="00CB2A0A">
        <w:rPr>
          <w:i/>
          <w:iCs/>
        </w:rPr>
        <w:t>Margin</w:t>
      </w:r>
      <w:r w:rsidRPr="0099419D">
        <w:t>)</w:t>
      </w:r>
      <w:r w:rsidR="00D14167">
        <w:t xml:space="preserve"> and in order to </w:t>
      </w:r>
      <w:r w:rsidR="00AA2215">
        <w:t>secure or otherwise cover obligations owed by the Client to the Firm</w:t>
      </w:r>
      <w:r w:rsidRPr="0099419D">
        <w:t xml:space="preserve"> will constitute a title transfer financial collateral arrangement, as such term is </w:t>
      </w:r>
      <w:r w:rsidRPr="00094771">
        <w:t>used in the Financial Collateral Arrangements (No. 2) Regulations 2003/3226.]</w:t>
      </w:r>
      <w:r w:rsidR="00436ED5">
        <w:rPr>
          <w:rStyle w:val="FootnoteReference"/>
        </w:rPr>
        <w:footnoteReference w:id="18"/>
      </w:r>
      <w:r w:rsidR="00D14167">
        <w:t xml:space="preserve"> </w:t>
      </w:r>
      <w:r w:rsidR="008350BE">
        <w:rPr>
          <w:b/>
          <w:bCs/>
          <w:i/>
          <w:iCs/>
        </w:rPr>
        <w:t xml:space="preserve"> </w:t>
      </w:r>
    </w:p>
    <w:p w14:paraId="760988C9" w14:textId="53E4208A" w:rsidR="00C931EA" w:rsidRPr="00E05F9F" w:rsidRDefault="00592EFF" w:rsidP="00C931EA">
      <w:pPr>
        <w:pStyle w:val="Level1"/>
      </w:pPr>
      <w:bookmarkStart w:id="66" w:name="_Ref165537350"/>
      <w:bookmarkStart w:id="67" w:name="_Ref172724422"/>
      <w:bookmarkStart w:id="68" w:name="_Ref133247903"/>
      <w:r>
        <w:t>SETTLED</w:t>
      </w:r>
      <w:r w:rsidR="00FF5788" w:rsidRPr="001A6624">
        <w:t xml:space="preserve"> </w:t>
      </w:r>
      <w:r w:rsidR="00C931EA" w:rsidRPr="001A6624">
        <w:t>ASSETS</w:t>
      </w:r>
      <w:bookmarkEnd w:id="66"/>
      <w:bookmarkEnd w:id="67"/>
      <w:r w:rsidR="00C931EA">
        <w:t xml:space="preserve"> </w:t>
      </w:r>
    </w:p>
    <w:p w14:paraId="66D17397" w14:textId="1C014425" w:rsidR="00C931EA" w:rsidRDefault="00C0397C" w:rsidP="004D04D7">
      <w:pPr>
        <w:pStyle w:val="Level2"/>
        <w:numPr>
          <w:ilvl w:val="0"/>
          <w:numId w:val="0"/>
        </w:numPr>
        <w:ind w:left="680"/>
      </w:pPr>
      <w:bookmarkStart w:id="69" w:name="_Ref165537502"/>
      <w:bookmarkStart w:id="70" w:name="_Ref170994697"/>
      <w:r w:rsidRPr="004327E0">
        <w:t xml:space="preserve">The Firm shall </w:t>
      </w:r>
      <w:r w:rsidR="002E340A">
        <w:t xml:space="preserve">be liable </w:t>
      </w:r>
      <w:r w:rsidRPr="004327E0">
        <w:t xml:space="preserve">to the Client </w:t>
      </w:r>
      <w:r w:rsidR="002E340A">
        <w:t xml:space="preserve">in respect of </w:t>
      </w:r>
      <w:r w:rsidRPr="004327E0">
        <w:t xml:space="preserve">any </w:t>
      </w:r>
      <w:r w:rsidR="00592EFF">
        <w:t>Settled Assets</w:t>
      </w:r>
      <w:r>
        <w:rPr>
          <w:b/>
          <w:bCs/>
        </w:rPr>
        <w:t xml:space="preserve"> </w:t>
      </w:r>
      <w:r>
        <w:t>that are received by the Firm</w:t>
      </w:r>
      <w:r w:rsidR="005376C6">
        <w:t xml:space="preserve"> </w:t>
      </w:r>
      <w:r w:rsidR="005376C6" w:rsidRPr="005376C6">
        <w:t xml:space="preserve">in accordance with paragraph </w:t>
      </w:r>
      <w:r w:rsidR="00F939B7">
        <w:fldChar w:fldCharType="begin" w:fldLock="1"/>
      </w:r>
      <w:r w:rsidR="00F939B7">
        <w:instrText xml:space="preserve"> REF _Ref178767993 \r \h </w:instrText>
      </w:r>
      <w:r w:rsidR="00F939B7">
        <w:fldChar w:fldCharType="separate"/>
      </w:r>
      <w:r w:rsidR="009646BC">
        <w:t>1.6</w:t>
      </w:r>
      <w:r w:rsidR="00F939B7">
        <w:fldChar w:fldCharType="end"/>
      </w:r>
      <w:r w:rsidR="005376C6" w:rsidRPr="005376C6">
        <w:t xml:space="preserve"> (</w:t>
      </w:r>
      <w:r w:rsidR="005376C6" w:rsidRPr="004D04D7">
        <w:rPr>
          <w:i/>
          <w:iCs/>
        </w:rPr>
        <w:t>Nature of beneficial interest and entitlement</w:t>
      </w:r>
      <w:r w:rsidR="005376C6" w:rsidRPr="005376C6">
        <w:t>) of the Segregated Asset Terms</w:t>
      </w:r>
      <w:r>
        <w:t xml:space="preserve">, </w:t>
      </w:r>
      <w:r w:rsidR="00E70C4B">
        <w:t>and any</w:t>
      </w:r>
      <w:r>
        <w:t xml:space="preserve"> </w:t>
      </w:r>
      <w:r w:rsidR="00592EFF">
        <w:t>D</w:t>
      </w:r>
      <w:r>
        <w:t xml:space="preserve">eemed </w:t>
      </w:r>
      <w:r w:rsidR="00592EFF">
        <w:t xml:space="preserve">Settled Assets that are deemed </w:t>
      </w:r>
      <w:r>
        <w:t>received by the Firm</w:t>
      </w:r>
      <w:r w:rsidR="001C7AFB">
        <w:t xml:space="preserve"> that are attributed to the Client</w:t>
      </w:r>
      <w:r w:rsidR="0094626A">
        <w:t xml:space="preserve"> in the books and records of the Firm</w:t>
      </w:r>
      <w:r>
        <w:t xml:space="preserve">, as if </w:t>
      </w:r>
      <w:r w:rsidR="00592EFF">
        <w:t>Equivalent Settled Assets</w:t>
      </w:r>
      <w:r>
        <w:t xml:space="preserve"> </w:t>
      </w:r>
      <w:r w:rsidR="00592EFF">
        <w:t xml:space="preserve">in respect of those Settled Assets or Deemed Settled Assets </w:t>
      </w:r>
      <w:r>
        <w:t xml:space="preserve">had been transferred by the Client to the Firm in accordance with the Title Transfer Provisions. </w:t>
      </w:r>
      <w:bookmarkEnd w:id="69"/>
      <w:bookmarkEnd w:id="70"/>
    </w:p>
    <w:p w14:paraId="7012FA18" w14:textId="3CBE73CE" w:rsidR="00BB238D" w:rsidRDefault="00BB238D" w:rsidP="00623726">
      <w:pPr>
        <w:pStyle w:val="Level1"/>
      </w:pPr>
      <w:bookmarkStart w:id="71" w:name="_Ref165537400"/>
      <w:r>
        <w:t>REPRESENTATIONS, WARRANTIES AND COVENANTS</w:t>
      </w:r>
      <w:bookmarkEnd w:id="68"/>
      <w:bookmarkEnd w:id="71"/>
      <w:r>
        <w:t xml:space="preserve"> </w:t>
      </w:r>
    </w:p>
    <w:p w14:paraId="2246C4DC" w14:textId="144C6E6E" w:rsidR="00BB238D" w:rsidRDefault="00BB238D" w:rsidP="00094771">
      <w:pPr>
        <w:pStyle w:val="Level2"/>
      </w:pPr>
      <w:bookmarkStart w:id="72" w:name="_Ref192803839"/>
      <w:r w:rsidRPr="00BB238D">
        <w:rPr>
          <w:b/>
          <w:bCs/>
          <w:i/>
          <w:iCs/>
        </w:rPr>
        <w:t>Representations and warranties:</w:t>
      </w:r>
      <w:r>
        <w:t xml:space="preserve"> The Client represents and warrants to the Firm</w:t>
      </w:r>
      <w:r w:rsidR="00F939B7">
        <w:t>:</w:t>
      </w:r>
      <w:r>
        <w:t xml:space="preserve"> </w:t>
      </w:r>
      <w:r w:rsidR="005B5C3F">
        <w:t>(</w:t>
      </w:r>
      <w:r w:rsidR="00F939B7">
        <w:t>i</w:t>
      </w:r>
      <w:r w:rsidR="005B5C3F">
        <w:t xml:space="preserve">) </w:t>
      </w:r>
      <w:r>
        <w:t xml:space="preserve">on the date this </w:t>
      </w:r>
      <w:r w:rsidR="00796D5C">
        <w:t xml:space="preserve">Client Clearing </w:t>
      </w:r>
      <w:r>
        <w:t>Agreement comes into effect</w:t>
      </w:r>
      <w:r w:rsidR="00F939B7">
        <w:t>;</w:t>
      </w:r>
      <w:r w:rsidR="00751ED9">
        <w:t xml:space="preserve"> </w:t>
      </w:r>
      <w:r>
        <w:t xml:space="preserve">and </w:t>
      </w:r>
      <w:r w:rsidR="005B5C3F">
        <w:t>(</w:t>
      </w:r>
      <w:r w:rsidR="00F939B7">
        <w:t>ii</w:t>
      </w:r>
      <w:r w:rsidR="005B5C3F">
        <w:t xml:space="preserve">) </w:t>
      </w:r>
      <w:r>
        <w:t>as of the date of each Transaction</w:t>
      </w:r>
      <w:r w:rsidR="005B5C3F">
        <w:t>,</w:t>
      </w:r>
      <w:r>
        <w:t xml:space="preserve"> that:</w:t>
      </w:r>
      <w:bookmarkEnd w:id="72"/>
    </w:p>
    <w:p w14:paraId="0FFB00BE" w14:textId="1A6F57A1" w:rsidR="00BB238D" w:rsidRDefault="00BB238D" w:rsidP="00623726">
      <w:pPr>
        <w:pStyle w:val="Level3"/>
      </w:pPr>
      <w:r>
        <w:t>the Client is duly organised and validly existing under the law of its jurisdiction of organisation or incorporation and, if relevant under that law, is in good standing;</w:t>
      </w:r>
    </w:p>
    <w:p w14:paraId="2B58442E" w14:textId="532EA86E" w:rsidR="00BB238D" w:rsidRDefault="00BB238D" w:rsidP="00B93B2C">
      <w:pPr>
        <w:pStyle w:val="Level3"/>
      </w:pPr>
      <w:r>
        <w:t xml:space="preserve">the Client has the capacity and all necessary authority, powers, consents, licences, authorisations and approvals under Applicable Regulations and has taken all necessary action to lawfully enter into and perform its obligations under this </w:t>
      </w:r>
      <w:r w:rsidR="000D271E">
        <w:t xml:space="preserve">Client Clearing </w:t>
      </w:r>
      <w:r>
        <w:t>Agreement, to validly execute and deliver th</w:t>
      </w:r>
      <w:r w:rsidR="0018190A">
        <w:t>is</w:t>
      </w:r>
      <w:r>
        <w:t xml:space="preserve"> </w:t>
      </w:r>
      <w:r w:rsidR="00C25732">
        <w:t xml:space="preserve">Client Clearing </w:t>
      </w:r>
      <w:r>
        <w:t>Agreement</w:t>
      </w:r>
      <w:r w:rsidR="00AB6B50">
        <w:t xml:space="preserve"> </w:t>
      </w:r>
      <w:r>
        <w:t>and to grant the powers referred to in this</w:t>
      </w:r>
      <w:r w:rsidR="003B07C3">
        <w:t xml:space="preserve"> Client Clearing</w:t>
      </w:r>
      <w:r>
        <w:t xml:space="preserve"> Agreement</w:t>
      </w:r>
      <w:r w:rsidRPr="007F17A5">
        <w:t>;</w:t>
      </w:r>
    </w:p>
    <w:p w14:paraId="743C534D" w14:textId="40005F39" w:rsidR="00BB238D" w:rsidRDefault="00BB238D" w:rsidP="00623726">
      <w:pPr>
        <w:pStyle w:val="Level3"/>
      </w:pPr>
      <w:r>
        <w:t>the Client's entry into and performance of its obligations under this</w:t>
      </w:r>
      <w:r w:rsidR="00ED2F42">
        <w:t xml:space="preserve"> Client Clearing</w:t>
      </w:r>
      <w:r>
        <w:t xml:space="preserve"> Agreement </w:t>
      </w:r>
      <w:r w:rsidR="0050190F">
        <w:t>are</w:t>
      </w:r>
      <w:r>
        <w:t xml:space="preserve"> and will be in compliance with its constitutional documents, its financial rules and any other laws or regulations applicable to the Client from time to time;</w:t>
      </w:r>
    </w:p>
    <w:p w14:paraId="4954B2D3" w14:textId="6951F0AF" w:rsidR="00BB238D" w:rsidRDefault="00BB238D" w:rsidP="00623726">
      <w:pPr>
        <w:pStyle w:val="Level3"/>
      </w:pPr>
      <w:r>
        <w:t xml:space="preserve">the persons entering into this </w:t>
      </w:r>
      <w:r w:rsidR="005F486C">
        <w:t xml:space="preserve">Client Clearing </w:t>
      </w:r>
      <w:r>
        <w:t>Agreement on the Client's behalf have been duly authorised to do so;</w:t>
      </w:r>
    </w:p>
    <w:p w14:paraId="515D1A40" w14:textId="0A182C76" w:rsidR="00BB238D" w:rsidRDefault="00BB238D" w:rsidP="00623726">
      <w:pPr>
        <w:pStyle w:val="Level3"/>
      </w:pPr>
      <w:r>
        <w:t>th</w:t>
      </w:r>
      <w:r w:rsidR="00136552">
        <w:t>e</w:t>
      </w:r>
      <w:r>
        <w:t xml:space="preserve"> Agreement </w:t>
      </w:r>
      <w:r w:rsidR="00603A00">
        <w:t>is</w:t>
      </w:r>
      <w:r>
        <w:t xml:space="preserve"> valid and binding upon the Client and enforceable against the Client in accordance with </w:t>
      </w:r>
      <w:r w:rsidR="00136552">
        <w:t>their</w:t>
      </w:r>
      <w:r>
        <w:t xml:space="preserve"> terms (subject to applicable principles of equity) and </w:t>
      </w:r>
      <w:r>
        <w:lastRenderedPageBreak/>
        <w:t>do</w:t>
      </w:r>
      <w:r w:rsidR="00EB0982">
        <w:t xml:space="preserve"> </w:t>
      </w:r>
      <w:r>
        <w:t>not and will not violate the terms of any Applicable Regulations, order, charge or agreement by which the Client is bound;</w:t>
      </w:r>
    </w:p>
    <w:p w14:paraId="4A2C27D5" w14:textId="10824F04" w:rsidR="00BB238D" w:rsidRDefault="00BB238D" w:rsidP="00623726">
      <w:pPr>
        <w:pStyle w:val="Level3"/>
      </w:pPr>
      <w:r>
        <w:t xml:space="preserve">the Client is entering into this </w:t>
      </w:r>
      <w:r w:rsidR="0029002F">
        <w:t xml:space="preserve">Client Clearing </w:t>
      </w:r>
      <w:r>
        <w:t>Agreement</w:t>
      </w:r>
      <w:r w:rsidR="001F1297" w:rsidRPr="001F1297">
        <w:t xml:space="preserve"> </w:t>
      </w:r>
      <w:r>
        <w:t>for commercial purposes;</w:t>
      </w:r>
    </w:p>
    <w:p w14:paraId="1B00E1D6" w14:textId="3EA7746E" w:rsidR="00BB238D" w:rsidRDefault="00BB238D" w:rsidP="00623726">
      <w:pPr>
        <w:pStyle w:val="Level3"/>
      </w:pPr>
      <w:r>
        <w:t>any information that the Client provides or that has been provided to the Firm in respect of the Client's financial position is accurate and a true and fair presentation of the Client's financial position, and information which the Client provides or has provided in relation to the Client's domicile or other matters is accurate and not misleading in any material respect;</w:t>
      </w:r>
    </w:p>
    <w:p w14:paraId="57E315D6" w14:textId="7F6FAF83" w:rsidR="00BB238D" w:rsidRDefault="00BB238D" w:rsidP="00623726">
      <w:pPr>
        <w:pStyle w:val="Level3"/>
      </w:pPr>
      <w:r>
        <w:t xml:space="preserve">except as otherwise agreed by the Firm, the Client is the sole beneficial owner of all margin the Client transfers under this </w:t>
      </w:r>
      <w:r w:rsidR="006F30D5">
        <w:t xml:space="preserve">Client Clearing </w:t>
      </w:r>
      <w:r>
        <w:t>Agreement, free and clear of any security interest whatsoever other than a lien routinely imposed on all securities in a clearing system in which those securities may be held or imposed by a third party custodian or other similar institution;</w:t>
      </w:r>
    </w:p>
    <w:p w14:paraId="3DC985C3" w14:textId="3A7CF63F" w:rsidR="00BB238D" w:rsidRDefault="00BB238D" w:rsidP="00623726">
      <w:pPr>
        <w:pStyle w:val="Level3"/>
      </w:pPr>
      <w:r>
        <w:t xml:space="preserve">the Client is not required to make a deduction or withholding for or on account of tax from a payment under this </w:t>
      </w:r>
      <w:r w:rsidR="009B4208">
        <w:t xml:space="preserve">Client Clearing </w:t>
      </w:r>
      <w:r>
        <w:t xml:space="preserve">Agreement [other than a FATCA Deduction]; </w:t>
      </w:r>
    </w:p>
    <w:p w14:paraId="771D6D91" w14:textId="0526508B" w:rsidR="00BB238D" w:rsidRDefault="00BB238D" w:rsidP="00623726">
      <w:pPr>
        <w:pStyle w:val="Level3"/>
      </w:pPr>
      <w:r>
        <w:t>under the law of the jurisdiction of incorporation or organisation of the Client, it is not necessary that th</w:t>
      </w:r>
      <w:r w:rsidR="00F1705B">
        <w:t>e</w:t>
      </w:r>
      <w:r>
        <w:t xml:space="preserve"> Agreement be filed, recorded or enrolled with any court or other authority in that jurisdiction or that any stamp, registration or similar tax or fee be paid on or in relation to th</w:t>
      </w:r>
      <w:r w:rsidR="00F1705B">
        <w:t>e</w:t>
      </w:r>
      <w:r>
        <w:t xml:space="preserve"> Agreement or the Services or Transactions contemplated by th</w:t>
      </w:r>
      <w:r w:rsidR="00F1705B">
        <w:t>e</w:t>
      </w:r>
      <w:r>
        <w:t xml:space="preserve"> Agreement; </w:t>
      </w:r>
    </w:p>
    <w:p w14:paraId="3F014AD0" w14:textId="4F25AF43" w:rsidR="00BB238D" w:rsidRDefault="00BB238D" w:rsidP="00623726">
      <w:pPr>
        <w:pStyle w:val="Level3"/>
      </w:pPr>
      <w:r>
        <w:t xml:space="preserve">no Event of Default or event which would, upon expiry of any applicable grace period, become an Event of Default has occurred and is continuing and the Client is not subject to recovery and/or resolution measures; </w:t>
      </w:r>
    </w:p>
    <w:p w14:paraId="2F9FE036" w14:textId="5D204A16" w:rsidR="00BB238D" w:rsidRDefault="00BB238D" w:rsidP="00623726">
      <w:pPr>
        <w:pStyle w:val="Level3"/>
      </w:pPr>
      <w:bookmarkStart w:id="73" w:name="_Ref139919755"/>
      <w:r>
        <w:t xml:space="preserve">[the Client is not a </w:t>
      </w:r>
      <w:r w:rsidR="008A5B1C">
        <w:t>“</w:t>
      </w:r>
      <w:r>
        <w:t>US person</w:t>
      </w:r>
      <w:r w:rsidR="008A5B1C">
        <w:t>”</w:t>
      </w:r>
      <w:r>
        <w:t xml:space="preserve"> (as defined in the Commodity Futures Trading Commission </w:t>
      </w:r>
      <w:r w:rsidR="008A5B1C">
        <w:t>(“</w:t>
      </w:r>
      <w:r w:rsidRPr="00EB0982">
        <w:rPr>
          <w:b/>
          <w:bCs/>
        </w:rPr>
        <w:t>CFTC</w:t>
      </w:r>
      <w:r w:rsidR="008A5B1C">
        <w:t>”</w:t>
      </w:r>
      <w:r>
        <w:t xml:space="preserve">) [and US Securities Exchange Commission </w:t>
      </w:r>
      <w:r w:rsidR="008A5B1C">
        <w:t>(“</w:t>
      </w:r>
      <w:r w:rsidRPr="00EB0982">
        <w:rPr>
          <w:b/>
          <w:bCs/>
        </w:rPr>
        <w:t>SEC</w:t>
      </w:r>
      <w:r w:rsidR="008A5B1C">
        <w:t>”</w:t>
      </w:r>
      <w:r>
        <w:t>)] regulations and interpreted in rules, guidance and orders issued by the CFTC [and SEC] from time to time);] [and]</w:t>
      </w:r>
      <w:bookmarkEnd w:id="73"/>
    </w:p>
    <w:p w14:paraId="23693882" w14:textId="39E52E32" w:rsidR="00BB238D" w:rsidRDefault="00BB238D" w:rsidP="00623726">
      <w:pPr>
        <w:pStyle w:val="Level3"/>
      </w:pPr>
      <w:bookmarkStart w:id="74" w:name="_Ref139919770"/>
      <w:r>
        <w:t xml:space="preserve">[the Client is not: (i) an employee benefit plan (as defined in Section 3(3) of the US Employee Retirement Income Security Act of 1974, as amended </w:t>
      </w:r>
      <w:r w:rsidR="008A5B1C">
        <w:t>(“</w:t>
      </w:r>
      <w:r w:rsidRPr="00EB0982">
        <w:rPr>
          <w:b/>
          <w:bCs/>
        </w:rPr>
        <w:t>ERISA</w:t>
      </w:r>
      <w:r w:rsidR="008A5B1C">
        <w:t>”</w:t>
      </w:r>
      <w:r>
        <w:t xml:space="preserve">)) that is subject to Title I of ERISA, or a plan or arrangement (including an individual retirement account or a Keogh plan) within the meaning of Section 4975 of the US Internal Revenue Code of 1986, as amended (the </w:t>
      </w:r>
      <w:r w:rsidR="008A5B1C">
        <w:t>“</w:t>
      </w:r>
      <w:r w:rsidRPr="00EB0982">
        <w:rPr>
          <w:b/>
          <w:bCs/>
        </w:rPr>
        <w:t>Code</w:t>
      </w:r>
      <w:r w:rsidR="008A5B1C">
        <w:t>”</w:t>
      </w:r>
      <w:r>
        <w:t xml:space="preserve">) that is subject to Section 4975 of the Code (each, a </w:t>
      </w:r>
      <w:r w:rsidR="008A5B1C">
        <w:t>“</w:t>
      </w:r>
      <w:r w:rsidRPr="00EB0982">
        <w:rPr>
          <w:b/>
          <w:bCs/>
        </w:rPr>
        <w:t>Plan</w:t>
      </w:r>
      <w:r w:rsidR="008A5B1C">
        <w:t>”</w:t>
      </w:r>
      <w:r>
        <w:t xml:space="preserve">); (ii) any entity whose underlying assets are deemed to include </w:t>
      </w:r>
      <w:r w:rsidR="008A5B1C">
        <w:t>“</w:t>
      </w:r>
      <w:r>
        <w:t>plan assets</w:t>
      </w:r>
      <w:r w:rsidR="008A5B1C">
        <w:t>”</w:t>
      </w:r>
      <w:r>
        <w:t xml:space="preserve"> under the US Department of Labor Regulations 29 CFR section 2510.3-101, as modified by Section 3(42) of ERISA, by reason of a Plan's investment in the Client (a </w:t>
      </w:r>
      <w:r w:rsidR="008A5B1C">
        <w:t>“</w:t>
      </w:r>
      <w:r w:rsidRPr="00EB0982">
        <w:rPr>
          <w:b/>
          <w:bCs/>
        </w:rPr>
        <w:t>Benefit Plan Investor</w:t>
      </w:r>
      <w:r w:rsidR="008A5B1C">
        <w:t>”</w:t>
      </w:r>
      <w:r>
        <w:t>); (iii) a person acting on behalf of a Benefit Plan Investor; or (iv) a governmental plan, church plan, or other plan subject to restrictions similar or analogous to those contained in the foregoing provisions of ERISA or the Code[.][; and]</w:t>
      </w:r>
      <w:bookmarkEnd w:id="74"/>
    </w:p>
    <w:p w14:paraId="16A9923E" w14:textId="46F1BD6D" w:rsidR="00BB238D" w:rsidRDefault="00BB238D" w:rsidP="00623726">
      <w:pPr>
        <w:pStyle w:val="Level3"/>
      </w:pPr>
      <w:r>
        <w:t xml:space="preserve">[the contractual relationship between the Client and the Firm established pursuant to this </w:t>
      </w:r>
      <w:r w:rsidR="00BE03DE">
        <w:t xml:space="preserve">Client Clearing </w:t>
      </w:r>
      <w:r>
        <w:t xml:space="preserve">Agreement is not intended to be used as a basis for providing </w:t>
      </w:r>
      <w:r>
        <w:lastRenderedPageBreak/>
        <w:t>clearing services to any of the Client's own clients as part of an indirect clearing arrangement in relation to any CCP established in the EU or the UK.]</w:t>
      </w:r>
    </w:p>
    <w:p w14:paraId="025C2526" w14:textId="1F6408CC" w:rsidR="00BB238D" w:rsidRDefault="00BB238D" w:rsidP="00094771">
      <w:pPr>
        <w:pStyle w:val="Level2"/>
      </w:pPr>
      <w:r w:rsidRPr="00EB0982">
        <w:rPr>
          <w:b/>
          <w:bCs/>
          <w:i/>
          <w:iCs/>
        </w:rPr>
        <w:t>Covenants:</w:t>
      </w:r>
      <w:r>
        <w:t xml:space="preserve"> The Client covenants to the Firm that: </w:t>
      </w:r>
    </w:p>
    <w:p w14:paraId="2409E75E" w14:textId="50C6558E" w:rsidR="00BB238D" w:rsidRDefault="00BB238D" w:rsidP="00623726">
      <w:pPr>
        <w:pStyle w:val="Level3"/>
      </w:pPr>
      <w:r>
        <w:t>the Client will at all times obtain and comply with, and do all that is necessary to maintain in full force and effect, all authority, powers, consents, licences and authorisations referred to in this clause</w:t>
      </w:r>
      <w:r w:rsidR="00E20769">
        <w:t xml:space="preserve"> </w:t>
      </w:r>
      <w:r w:rsidR="00E20769">
        <w:fldChar w:fldCharType="begin" w:fldLock="1"/>
      </w:r>
      <w:r w:rsidR="00E20769">
        <w:instrText xml:space="preserve"> REF _Ref165537400 \r \h </w:instrText>
      </w:r>
      <w:r w:rsidR="00E20769">
        <w:fldChar w:fldCharType="separate"/>
      </w:r>
      <w:r w:rsidR="009646BC">
        <w:t>9</w:t>
      </w:r>
      <w:r w:rsidR="00E20769">
        <w:fldChar w:fldCharType="end"/>
      </w:r>
      <w:r>
        <w:t>;</w:t>
      </w:r>
    </w:p>
    <w:p w14:paraId="2AFDBC59" w14:textId="4DC2C029" w:rsidR="00BB238D" w:rsidRDefault="00BB238D" w:rsidP="00623726">
      <w:pPr>
        <w:pStyle w:val="Level3"/>
      </w:pPr>
      <w:r>
        <w:t>the Client will and is able to, upon request, promptly provide the Firm with information in respect of the Client's financial position, domicile or other matters and/or with the information as the Firm may reasonably require to evidence the matters referred to in this clause</w:t>
      </w:r>
      <w:r w:rsidR="00E20769">
        <w:t xml:space="preserve"> </w:t>
      </w:r>
      <w:r w:rsidR="00E20769">
        <w:fldChar w:fldCharType="begin" w:fldLock="1"/>
      </w:r>
      <w:r w:rsidR="00E20769">
        <w:instrText xml:space="preserve"> REF _Ref165537400 \r \h </w:instrText>
      </w:r>
      <w:r w:rsidR="00E20769">
        <w:fldChar w:fldCharType="separate"/>
      </w:r>
      <w:r w:rsidR="009646BC">
        <w:t>9</w:t>
      </w:r>
      <w:r w:rsidR="00E20769">
        <w:fldChar w:fldCharType="end"/>
      </w:r>
      <w:r>
        <w:t xml:space="preserve">; </w:t>
      </w:r>
    </w:p>
    <w:p w14:paraId="632F597A" w14:textId="745DBA1D" w:rsidR="00BB238D" w:rsidRDefault="00BB238D" w:rsidP="00623726">
      <w:pPr>
        <w:pStyle w:val="Level3"/>
      </w:pPr>
      <w:r>
        <w:t xml:space="preserve">the Client will promptly notify the Firm of the occurrence of any Event of Default or of any event that may </w:t>
      </w:r>
      <w:r w:rsidRPr="00B15AE4">
        <w:t>become an Event of Default with respect to the Client [or any Credit Support Provider];</w:t>
      </w:r>
    </w:p>
    <w:p w14:paraId="2A889189" w14:textId="75A010D7" w:rsidR="00BB238D" w:rsidRDefault="00BB238D" w:rsidP="00623726">
      <w:pPr>
        <w:pStyle w:val="Level3"/>
      </w:pPr>
      <w:r>
        <w:t>the Client will: (i) comply with all Applicable Regulations in relation to th</w:t>
      </w:r>
      <w:r w:rsidR="009F7520">
        <w:t>e</w:t>
      </w:r>
      <w:r>
        <w:t xml:space="preserve"> Agreement and each order and Transaction, so far as they are applicable to it; and (ii) use all reasonable steps to comply with all Applicable Regulations in relation to th</w:t>
      </w:r>
      <w:r w:rsidR="009F7520">
        <w:t>e</w:t>
      </w:r>
      <w:r>
        <w:t xml:space="preserve"> Agreement and each order or Transaction, where the Applicable Regulations do not apply to the Client but the Client's co</w:t>
      </w:r>
      <w:r w:rsidR="00D92D97">
        <w:t>-</w:t>
      </w:r>
      <w:r>
        <w:t>operation is needed to help the Firm comply with its obligations;</w:t>
      </w:r>
      <w:r w:rsidR="00C908EF">
        <w:t xml:space="preserve"> and</w:t>
      </w:r>
    </w:p>
    <w:p w14:paraId="5444040B" w14:textId="0AA2B032" w:rsidR="00BB238D" w:rsidRDefault="00BB238D" w:rsidP="00623726">
      <w:pPr>
        <w:pStyle w:val="Level3"/>
      </w:pPr>
      <w:r>
        <w:t>the Client will observe the standard of behaviour reasonably expected of persons in the Client's position and not take any step which would cause the Firm to fail to observe the standard of behaviour reasonably expected of persons in the Firm's position</w:t>
      </w:r>
      <w:r w:rsidR="00C908EF">
        <w:t>.</w:t>
      </w:r>
    </w:p>
    <w:p w14:paraId="46BFB097" w14:textId="43F61828" w:rsidR="00427896" w:rsidRDefault="00427896" w:rsidP="00623726">
      <w:pPr>
        <w:pStyle w:val="Level1"/>
      </w:pPr>
      <w:r>
        <w:t>EVENTS OF DEFAULT</w:t>
      </w:r>
    </w:p>
    <w:p w14:paraId="270981FF" w14:textId="57B008E5" w:rsidR="00427896" w:rsidRDefault="00427896" w:rsidP="00094771">
      <w:pPr>
        <w:pStyle w:val="Level2"/>
      </w:pPr>
      <w:bookmarkStart w:id="75" w:name="_Ref133414439"/>
      <w:r w:rsidRPr="00427896">
        <w:rPr>
          <w:b/>
          <w:bCs/>
          <w:i/>
          <w:iCs/>
        </w:rPr>
        <w:t>Events of Default:</w:t>
      </w:r>
      <w:r>
        <w:t xml:space="preserve"> Each of the following will constitute an </w:t>
      </w:r>
      <w:r w:rsidR="008A5B1C">
        <w:t>“</w:t>
      </w:r>
      <w:r w:rsidRPr="00427896">
        <w:rPr>
          <w:b/>
          <w:bCs/>
        </w:rPr>
        <w:t>Event of Default</w:t>
      </w:r>
      <w:r w:rsidR="008A5B1C">
        <w:t>”</w:t>
      </w:r>
      <w:r>
        <w:t>:</w:t>
      </w:r>
      <w:bookmarkEnd w:id="75"/>
    </w:p>
    <w:p w14:paraId="40C20224" w14:textId="721E0432" w:rsidR="00427896" w:rsidRDefault="00427896" w:rsidP="00623726">
      <w:pPr>
        <w:pStyle w:val="Level3"/>
      </w:pPr>
      <w:r>
        <w:t>the Client fails to make any payment or to make or take delivery of any property, in each case, when due under th</w:t>
      </w:r>
      <w:r w:rsidR="009F7520">
        <w:t>e</w:t>
      </w:r>
      <w:r>
        <w:t xml:space="preserve"> Agreement, or to observe or perform any other provision of th</w:t>
      </w:r>
      <w:r w:rsidR="009F7520">
        <w:t>e</w:t>
      </w:r>
      <w:r>
        <w:t xml:space="preserve"> Agreement; </w:t>
      </w:r>
    </w:p>
    <w:p w14:paraId="0CBCC6EB" w14:textId="77777777" w:rsidR="00427896" w:rsidRDefault="00427896" w:rsidP="00623726">
      <w:pPr>
        <w:pStyle w:val="Level3"/>
      </w:pPr>
      <w:r>
        <w:t xml:space="preserve">the occurrence of an Insolvency Event in relation to the Client; </w:t>
      </w:r>
    </w:p>
    <w:p w14:paraId="34FC86D7" w14:textId="53352C7B" w:rsidR="00B15AE4" w:rsidRDefault="00427896" w:rsidP="00623726">
      <w:pPr>
        <w:pStyle w:val="Level3"/>
      </w:pPr>
      <w:bookmarkStart w:id="76" w:name="_Ref133413383"/>
      <w:r>
        <w:t xml:space="preserve">[the Client or any </w:t>
      </w:r>
      <w:r w:rsidRPr="00B15AE4">
        <w:t>Credit Support Provider (or any custodian acting on behalf of either of the Client or a Credit Support Provider) disaffirms, disclaims or repudiates</w:t>
      </w:r>
      <w:r w:rsidR="00636C06">
        <w:t xml:space="preserve"> </w:t>
      </w:r>
      <w:r w:rsidRPr="00B15AE4">
        <w:t>any obligation under this</w:t>
      </w:r>
      <w:r w:rsidR="00FD30B1">
        <w:t xml:space="preserve"> Client Clearing</w:t>
      </w:r>
      <w:r w:rsidRPr="00B15AE4">
        <w:t xml:space="preserve"> Agreement or any guarantee, hypothecation</w:t>
      </w:r>
      <w:r>
        <w:t xml:space="preserve"> agreement, margin or security agreement or any other document containing an obligation of the Client or a third party in favour of the Firm supporting any of the Client's obligations under th</w:t>
      </w:r>
      <w:r w:rsidR="00E046C0">
        <w:t>e</w:t>
      </w:r>
      <w:r>
        <w:t xml:space="preserve"> Agreement (each a </w:t>
      </w:r>
      <w:r w:rsidR="008A5B1C">
        <w:t>“</w:t>
      </w:r>
      <w:r w:rsidRPr="00B15AE4">
        <w:rPr>
          <w:b/>
          <w:bCs/>
        </w:rPr>
        <w:t>Credit Support Document</w:t>
      </w:r>
      <w:r w:rsidR="008A5B1C">
        <w:t>”</w:t>
      </w:r>
      <w:r>
        <w:t>);]</w:t>
      </w:r>
      <w:bookmarkEnd w:id="76"/>
    </w:p>
    <w:p w14:paraId="5466D6FB" w14:textId="037C4532" w:rsidR="00B15AE4" w:rsidRDefault="00427896" w:rsidP="00623726">
      <w:pPr>
        <w:pStyle w:val="Level3"/>
      </w:pPr>
      <w:r>
        <w:t xml:space="preserve">any representation or warranty made or given or deemed made or given by the Client under this </w:t>
      </w:r>
      <w:r w:rsidR="00C266A4">
        <w:t xml:space="preserve">Client Clearing </w:t>
      </w:r>
      <w:r>
        <w:t xml:space="preserve">Agreement [or any Credit Support Document] proves to have been false or misleading in any material respect as at the time it was made or given or deemed made or given; </w:t>
      </w:r>
    </w:p>
    <w:p w14:paraId="2C50D49A" w14:textId="55DFE6AD" w:rsidR="00B15AE4" w:rsidRDefault="00427896" w:rsidP="00623726">
      <w:pPr>
        <w:pStyle w:val="Level3"/>
      </w:pPr>
      <w:r>
        <w:lastRenderedPageBreak/>
        <w:t xml:space="preserve">the Client [or any Credit Support Provider] transfers all or substantially all its assets to another entity, or otherwise is consolidated, amalgamated or merged with or into another entity or undergoes a similar process, with the effect that the resultant, surviving or transferee entity does not assume all obligations of the Client [or the Credit Support Provider (as applicable)] under this </w:t>
      </w:r>
      <w:r w:rsidR="003D0D49">
        <w:t xml:space="preserve">Client Clearing </w:t>
      </w:r>
      <w:r>
        <w:t>Agreement</w:t>
      </w:r>
      <w:r w:rsidR="00123B5B">
        <w:t xml:space="preserve"> </w:t>
      </w:r>
      <w:r>
        <w:t>[or any Credit Support Document, or the Credit Support Document does not apply to the obligations of the resultant, surviving or transferee entity to the same extent as it applied to the obligations of the Client];</w:t>
      </w:r>
      <w:r w:rsidR="009754A3">
        <w:t xml:space="preserve"> </w:t>
      </w:r>
    </w:p>
    <w:p w14:paraId="3DB3A730" w14:textId="22EABDEB" w:rsidR="00B15AE4" w:rsidRDefault="00427896" w:rsidP="00623726">
      <w:pPr>
        <w:pStyle w:val="Level3"/>
      </w:pPr>
      <w:r>
        <w:t>[(i) any Credit Support Provider, or the Client, fails to comply with or perform any agreement or obligation to be complied with or performed by it, or the Client, in accordance with the applicable Credit Support Document; (ii) any Credit Support Document expires or ceases to be in full force and effect prior to the satisfaction of all the Client</w:t>
      </w:r>
      <w:r w:rsidR="003F40B2">
        <w:t>’</w:t>
      </w:r>
      <w:r>
        <w:t xml:space="preserve">s obligations under this </w:t>
      </w:r>
      <w:r w:rsidR="00D61130">
        <w:t xml:space="preserve">Client Clearing </w:t>
      </w:r>
      <w:r>
        <w:t>Agreement, unless the Firm has agreed in writing that this will not be an Event of Default; (iii) any representation or warranty made or given or deemed made or given by any Credit Support Provider pursuant to any Credit Support Document proves to have been false or misleading in any material respect as at the time it was made or given or deemed made or given; or (iv) an event equivalent to an Insolvency Event occurs in respect of any Credit Support Provider]; [or]</w:t>
      </w:r>
    </w:p>
    <w:p w14:paraId="51181F9A" w14:textId="3678E1BC" w:rsidR="00B15AE4" w:rsidRDefault="00427896" w:rsidP="00623726">
      <w:pPr>
        <w:pStyle w:val="Level3"/>
      </w:pPr>
      <w:bookmarkStart w:id="77" w:name="_Ref151494312"/>
      <w:r>
        <w:t>[the Client [or Credit Support Provider] is dissolved, or, if its capacity or existence is dependent upon a record in a formal register, the registration is removed or ends, or any procedure is commenced seeking or proposing the Client</w:t>
      </w:r>
      <w:r w:rsidR="003F40B2">
        <w:t>’</w:t>
      </w:r>
      <w:r>
        <w:t>s dissolution, removal from such a register or the ending of such a registration;] [or]</w:t>
      </w:r>
      <w:bookmarkEnd w:id="77"/>
    </w:p>
    <w:p w14:paraId="3D52CFF0" w14:textId="5B3AA3A3" w:rsidR="00B15AE4" w:rsidRDefault="00427896" w:rsidP="00623726">
      <w:pPr>
        <w:pStyle w:val="Level3"/>
      </w:pPr>
      <w:r>
        <w:t xml:space="preserve">[where the Client [or a Credit Support Provider] is a partnership, an event equivalent to an Insolvency Event occurs [or any of the events referred to in </w:t>
      </w:r>
      <w:r w:rsidR="00027FB0">
        <w:t xml:space="preserve">clause </w:t>
      </w:r>
      <w:r w:rsidR="000709E6">
        <w:fldChar w:fldCharType="begin" w:fldLock="1"/>
      </w:r>
      <w:r w:rsidR="000709E6">
        <w:instrText xml:space="preserve"> REF _Ref151494312 \r \h </w:instrText>
      </w:r>
      <w:r w:rsidR="000709E6">
        <w:fldChar w:fldCharType="separate"/>
      </w:r>
      <w:r w:rsidR="009646BC">
        <w:t>10.1.7</w:t>
      </w:r>
      <w:r w:rsidR="000709E6">
        <w:fldChar w:fldCharType="end"/>
      </w:r>
      <w:r>
        <w:t>] occurs in respect of one or more of the Client</w:t>
      </w:r>
      <w:r w:rsidR="003F40B2">
        <w:t>’</w:t>
      </w:r>
      <w:r>
        <w:t>s [or the Credit Support Provider</w:t>
      </w:r>
      <w:r w:rsidR="003F40B2">
        <w:t>’</w:t>
      </w:r>
      <w:r>
        <w:t>s] partners;] [or]</w:t>
      </w:r>
    </w:p>
    <w:p w14:paraId="08CA6565" w14:textId="77777777" w:rsidR="00B15AE4" w:rsidRDefault="00427896" w:rsidP="00623726">
      <w:pPr>
        <w:pStyle w:val="Level3"/>
      </w:pPr>
      <w:r>
        <w:t>[the Firm considers it necessary or desirable to prevent what the Firm considers is or might be a violation of any Applicable Regulations or a good standard of market practice;] [or]</w:t>
      </w:r>
    </w:p>
    <w:p w14:paraId="5BF654A3" w14:textId="0EE9E237" w:rsidR="00B15AE4" w:rsidRDefault="00C12517" w:rsidP="00623726">
      <w:pPr>
        <w:pStyle w:val="Level3"/>
      </w:pPr>
      <w:r>
        <w:t>t</w:t>
      </w:r>
      <w:r w:rsidR="00427896">
        <w:t>he Firm considers it necessary or desirable for the Firm</w:t>
      </w:r>
      <w:r w:rsidR="003F40B2">
        <w:t>’</w:t>
      </w:r>
      <w:r w:rsidR="00427896">
        <w:t>s own protection or for the protection of the Client (including to prevent a violation or continued violation of Applicable Regulations) or any action is taken or event occurs which the Firm considers might have a material adverse effect upon the Client</w:t>
      </w:r>
      <w:r w:rsidR="003F40B2">
        <w:t>’</w:t>
      </w:r>
      <w:r w:rsidR="00427896">
        <w:t>s [or a Credit Support Provider</w:t>
      </w:r>
      <w:r w:rsidR="003F40B2">
        <w:t>’</w:t>
      </w:r>
      <w:r w:rsidR="00427896">
        <w:t xml:space="preserve">s] ability to perform any of its obligations under this </w:t>
      </w:r>
      <w:r w:rsidR="00326CF3">
        <w:t xml:space="preserve">Client Clearing </w:t>
      </w:r>
      <w:r w:rsidR="00427896">
        <w:t>Agreement</w:t>
      </w:r>
      <w:r w:rsidR="003F40B2">
        <w:t xml:space="preserve"> </w:t>
      </w:r>
      <w:r w:rsidR="00427896">
        <w:t>[or a Credit Support Document] including loss of a necessary licence; [or]</w:t>
      </w:r>
    </w:p>
    <w:p w14:paraId="71C51822" w14:textId="77777777" w:rsidR="00B15AE4" w:rsidRDefault="00427896" w:rsidP="00623726">
      <w:pPr>
        <w:pStyle w:val="Level3"/>
      </w:pPr>
      <w:r>
        <w:t>[any event of default (however described) occurs in relation to the Client [or a Credit Support Provider] under any other agreement [between the Firm and/or its Associates with the Client] [or Credit Support Provider (as applicable)]; [or]</w:t>
      </w:r>
    </w:p>
    <w:p w14:paraId="5309A14E" w14:textId="34806888" w:rsidR="00427896" w:rsidRDefault="00427896" w:rsidP="00623726">
      <w:pPr>
        <w:pStyle w:val="Level3"/>
      </w:pPr>
      <w:r>
        <w:t xml:space="preserve">[any other event specified to be an Event of Default [for these purposes] in the Annex or elsewhere in this </w:t>
      </w:r>
      <w:r w:rsidR="00326CF3">
        <w:t xml:space="preserve">Client Clearing </w:t>
      </w:r>
      <w:r>
        <w:t>Agreement occurs.]</w:t>
      </w:r>
      <w:r w:rsidR="00326CF3">
        <w:t xml:space="preserve"> </w:t>
      </w:r>
    </w:p>
    <w:p w14:paraId="6FBD9A10" w14:textId="3BF71A3A" w:rsidR="00B15AE4" w:rsidRPr="00B15AE4" w:rsidRDefault="001A1F7D" w:rsidP="00623726">
      <w:pPr>
        <w:pStyle w:val="Level1"/>
      </w:pPr>
      <w:bookmarkStart w:id="78" w:name="_Ref152148112"/>
      <w:r>
        <w:lastRenderedPageBreak/>
        <w:t>RIGHTS OF THE FIRM</w:t>
      </w:r>
      <w:r w:rsidR="00B15AE4" w:rsidRPr="00B15AE4">
        <w:t xml:space="preserve"> FOLLOWING AN EVENT OF DEFAULT</w:t>
      </w:r>
      <w:bookmarkEnd w:id="78"/>
      <w:r w:rsidR="00B15AE4" w:rsidRPr="00B15AE4">
        <w:t xml:space="preserve"> </w:t>
      </w:r>
    </w:p>
    <w:p w14:paraId="2C2D925D" w14:textId="0C787E3D" w:rsidR="00CA7647" w:rsidRDefault="008401E0">
      <w:pPr>
        <w:pStyle w:val="Level2"/>
      </w:pPr>
      <w:bookmarkStart w:id="79" w:name="_Ref160635356"/>
      <w:bookmarkStart w:id="80" w:name="_Ref139311932"/>
      <w:r>
        <w:rPr>
          <w:b/>
          <w:bCs/>
          <w:i/>
          <w:iCs/>
        </w:rPr>
        <w:t xml:space="preserve">Actions of the </w:t>
      </w:r>
      <w:r w:rsidR="00B86552">
        <w:rPr>
          <w:b/>
          <w:bCs/>
          <w:i/>
          <w:iCs/>
        </w:rPr>
        <w:t xml:space="preserve">Firm: </w:t>
      </w:r>
      <w:r w:rsidR="00837A74">
        <w:t>The</w:t>
      </w:r>
      <w:r w:rsidR="00B15AE4">
        <w:t xml:space="preserve"> Client acknowledges and agrees that, notwithstanding any provision of th</w:t>
      </w:r>
      <w:r w:rsidR="00FC2D14">
        <w:t>e</w:t>
      </w:r>
      <w:r w:rsidR="00B15AE4">
        <w:t xml:space="preserve"> Agreement, </w:t>
      </w:r>
      <w:r w:rsidR="00B86552">
        <w:t>on the occurrence of an Event of Default, the</w:t>
      </w:r>
      <w:r w:rsidR="00B15AE4">
        <w:t xml:space="preserve"> Firm may deal with </w:t>
      </w:r>
      <w:r w:rsidR="006D6B39">
        <w:t>any or all</w:t>
      </w:r>
      <w:r w:rsidR="00B86552">
        <w:t xml:space="preserve"> Transactions as principal and may take any action in respect of </w:t>
      </w:r>
      <w:r w:rsidR="006D6B39">
        <w:t>any or all of the</w:t>
      </w:r>
      <w:r w:rsidR="00B86552">
        <w:t xml:space="preserve"> Transactions as the Firm considers necessary or desirable, </w:t>
      </w:r>
      <w:r w:rsidR="001A1F7D">
        <w:t>including</w:t>
      </w:r>
      <w:r w:rsidR="00CA7647">
        <w:t>:</w:t>
      </w:r>
      <w:bookmarkEnd w:id="79"/>
      <w:r w:rsidR="001A1F7D">
        <w:t xml:space="preserve"> </w:t>
      </w:r>
    </w:p>
    <w:p w14:paraId="32C8974C" w14:textId="2DA88EB9" w:rsidR="00663A45" w:rsidRDefault="00395C58" w:rsidP="00663A45">
      <w:pPr>
        <w:pStyle w:val="Level3"/>
      </w:pPr>
      <w:r>
        <w:t xml:space="preserve">entering into </w:t>
      </w:r>
      <w:r w:rsidR="0012192A">
        <w:t xml:space="preserve">and unwinding </w:t>
      </w:r>
      <w:r>
        <w:t>one or more Risk Hedging Transactions</w:t>
      </w:r>
      <w:r w:rsidR="00EA24A0">
        <w:t xml:space="preserve"> </w:t>
      </w:r>
      <w:r w:rsidR="00E101AA">
        <w:t>in order to hedge, mitigate or eliminate the market risks</w:t>
      </w:r>
      <w:r w:rsidR="00EA5330">
        <w:t xml:space="preserve"> associated with </w:t>
      </w:r>
      <w:r w:rsidR="00747ACB" w:rsidRPr="00747ACB">
        <w:t>one or more Transactions relating to one or more Cleared Transaction Sets</w:t>
      </w:r>
      <w:r w:rsidR="009A5E83">
        <w:t>;</w:t>
      </w:r>
      <w:r>
        <w:t xml:space="preserve"> </w:t>
      </w:r>
    </w:p>
    <w:p w14:paraId="10B6C7B8" w14:textId="36781A23" w:rsidR="009A5E83" w:rsidRDefault="00663A45" w:rsidP="00CC2ECC">
      <w:pPr>
        <w:pStyle w:val="Level3"/>
      </w:pPr>
      <w:r>
        <w:t>entering into one or more Close-</w:t>
      </w:r>
      <w:r w:rsidR="00485EB6">
        <w:t>o</w:t>
      </w:r>
      <w:r>
        <w:t xml:space="preserve">ut Transactions in order to offset and close-out such Transactions to another clearing member; </w:t>
      </w:r>
      <w:r w:rsidR="009B33FC">
        <w:t>and</w:t>
      </w:r>
      <w:r w:rsidR="00395C58">
        <w:t xml:space="preserve"> </w:t>
      </w:r>
    </w:p>
    <w:p w14:paraId="7EEE6F17" w14:textId="116A3B25" w:rsidR="00B15AE4" w:rsidRDefault="00395C58" w:rsidP="00CA7647">
      <w:pPr>
        <w:pStyle w:val="Level3"/>
      </w:pPr>
      <w:r>
        <w:t>transferring each Transaction to the proprietary account of the Firm at the Agreed CCP Service.</w:t>
      </w:r>
      <w:bookmarkEnd w:id="80"/>
    </w:p>
    <w:p w14:paraId="77CBF723" w14:textId="094827F8" w:rsidR="00651F31" w:rsidRDefault="00C333BE" w:rsidP="00651F31">
      <w:pPr>
        <w:pStyle w:val="Level2"/>
      </w:pPr>
      <w:bookmarkStart w:id="81" w:name="_Ref139990993"/>
      <w:r w:rsidRPr="00651F31">
        <w:rPr>
          <w:b/>
          <w:bCs/>
          <w:i/>
          <w:iCs/>
        </w:rPr>
        <w:t>Consequences of an Event of Default</w:t>
      </w:r>
      <w:r w:rsidR="00B86552" w:rsidRPr="00651F31">
        <w:rPr>
          <w:b/>
          <w:bCs/>
          <w:i/>
          <w:iCs/>
        </w:rPr>
        <w:t>:</w:t>
      </w:r>
      <w:r w:rsidRPr="00651F31">
        <w:rPr>
          <w:b/>
          <w:bCs/>
          <w:i/>
          <w:iCs/>
        </w:rPr>
        <w:t xml:space="preserve"> </w:t>
      </w:r>
      <w:r w:rsidR="00651F31">
        <w:t xml:space="preserve">Following </w:t>
      </w:r>
      <w:r>
        <w:t>the occurrence of an Event of Defaul</w:t>
      </w:r>
      <w:r w:rsidR="00651F31">
        <w:t xml:space="preserve">t and the Firm having taken any action it </w:t>
      </w:r>
      <w:r w:rsidR="00E91099">
        <w:t>is permitted to take</w:t>
      </w:r>
      <w:r w:rsidR="00651F31">
        <w:t xml:space="preserve"> in accordance with</w:t>
      </w:r>
      <w:r w:rsidR="004E6071" w:rsidRPr="004E6071">
        <w:t xml:space="preserve"> </w:t>
      </w:r>
      <w:r w:rsidR="004E6071">
        <w:t xml:space="preserve">clause </w:t>
      </w:r>
      <w:r w:rsidR="004E6071">
        <w:fldChar w:fldCharType="begin" w:fldLock="1"/>
      </w:r>
      <w:r w:rsidR="004E6071">
        <w:instrText xml:space="preserve"> REF _Ref160635356 \r \h </w:instrText>
      </w:r>
      <w:r w:rsidR="004E6071">
        <w:fldChar w:fldCharType="separate"/>
      </w:r>
      <w:r w:rsidR="009646BC">
        <w:t>11.1</w:t>
      </w:r>
      <w:r w:rsidR="004E6071">
        <w:fldChar w:fldCharType="end"/>
      </w:r>
      <w:r w:rsidR="004E6071">
        <w:t xml:space="preserve"> (</w:t>
      </w:r>
      <w:r w:rsidR="004E6071">
        <w:rPr>
          <w:i/>
          <w:iCs/>
        </w:rPr>
        <w:t>Actions of the Firm</w:t>
      </w:r>
      <w:r w:rsidR="004E6071">
        <w:t>) and</w:t>
      </w:r>
      <w:r w:rsidR="00651F31">
        <w:t xml:space="preserve"> the Rules of each relevant Agreed CCP Service:</w:t>
      </w:r>
      <w:bookmarkEnd w:id="81"/>
      <w:r w:rsidR="00651F31">
        <w:t xml:space="preserve"> </w:t>
      </w:r>
    </w:p>
    <w:p w14:paraId="3DA7BF23" w14:textId="382D2BB2" w:rsidR="00F85227" w:rsidRDefault="00E409E2" w:rsidP="002E4386">
      <w:pPr>
        <w:pStyle w:val="Level3"/>
      </w:pPr>
      <w:bookmarkStart w:id="82" w:name="_Ref151485915"/>
      <w:r>
        <w:t xml:space="preserve">for so long as </w:t>
      </w:r>
      <w:r w:rsidR="00651F31">
        <w:t>any Transactions in a Cleared Transaction Set remain outstanding and recorded to</w:t>
      </w:r>
      <w:r w:rsidR="00764955">
        <w:t xml:space="preserve"> </w:t>
      </w:r>
      <w:bookmarkEnd w:id="82"/>
      <w:r w:rsidR="00651F31">
        <w:t xml:space="preserve">the relevant </w:t>
      </w:r>
      <w:r w:rsidR="003333CE">
        <w:t>Segregated</w:t>
      </w:r>
      <w:r w:rsidR="004053CA">
        <w:t xml:space="preserve"> </w:t>
      </w:r>
      <w:r w:rsidR="00651F31">
        <w:t>Account at the relevant Agreed CCP Service</w:t>
      </w:r>
      <w:r w:rsidR="009301F1">
        <w:t>,</w:t>
      </w:r>
      <w:r w:rsidR="00E902A4">
        <w:t xml:space="preserve"> the Firm’s rights, title, interest and benefit in and to such Transactions shall continue to be held</w:t>
      </w:r>
      <w:r w:rsidR="00245EE6">
        <w:t xml:space="preserve"> on trust</w:t>
      </w:r>
      <w:r w:rsidR="00E902A4">
        <w:t xml:space="preserve"> by the Firm pursuant to, and in accordance with, the Segregated Asset Terms</w:t>
      </w:r>
      <w:r w:rsidR="00F85227">
        <w:t>;</w:t>
      </w:r>
    </w:p>
    <w:p w14:paraId="12E3855D" w14:textId="3A4A6005" w:rsidR="00651F31" w:rsidRDefault="00651F31" w:rsidP="00651F31">
      <w:pPr>
        <w:pStyle w:val="Level3"/>
      </w:pPr>
      <w:bookmarkStart w:id="83" w:name="_Ref152084409"/>
      <w:r>
        <w:t xml:space="preserve">if an amount is due from the Agreed CCP Service to the Firm in respect of the Transactions in a Cleared Transaction Set, any and all rights of the Firm against the Agreed CCP Service in relation to that amount shall be held </w:t>
      </w:r>
      <w:r w:rsidR="00245EE6">
        <w:t xml:space="preserve">on trust </w:t>
      </w:r>
      <w:r>
        <w:t xml:space="preserve">by the Firm pursuant to, and in accordance with, the </w:t>
      </w:r>
      <w:r w:rsidR="00993ACC">
        <w:t>Segregated Asset</w:t>
      </w:r>
      <w:r>
        <w:t xml:space="preserve"> Terms;</w:t>
      </w:r>
      <w:bookmarkEnd w:id="83"/>
      <w:r>
        <w:t xml:space="preserve"> </w:t>
      </w:r>
    </w:p>
    <w:p w14:paraId="3D7FFB61" w14:textId="08B3AF68" w:rsidR="00651F31" w:rsidRDefault="00651F31" w:rsidP="00651F31">
      <w:pPr>
        <w:pStyle w:val="Level3"/>
      </w:pPr>
      <w:bookmarkStart w:id="84" w:name="_Ref139991199"/>
      <w:r>
        <w:t>if an amount is due from the Firm to the Agreed CCP Service in respect of the Transactions in a Cleared Transaction Set, a</w:t>
      </w:r>
      <w:r w:rsidR="00B94E24">
        <w:t xml:space="preserve"> </w:t>
      </w:r>
      <w:r w:rsidRPr="001A6624">
        <w:t>Shortfall Amount</w:t>
      </w:r>
      <w:r>
        <w:t xml:space="preserve"> equal to such amount shall be payable from the Client to the Firm in accordance with clause </w:t>
      </w:r>
      <w:r w:rsidR="00940DE1">
        <w:rPr>
          <w:highlight w:val="green"/>
        </w:rPr>
        <w:fldChar w:fldCharType="begin" w:fldLock="1"/>
      </w:r>
      <w:r w:rsidR="00940DE1">
        <w:instrText xml:space="preserve"> REF _Ref139991379 \r \h </w:instrText>
      </w:r>
      <w:r w:rsidR="00940DE1">
        <w:rPr>
          <w:highlight w:val="green"/>
        </w:rPr>
      </w:r>
      <w:r w:rsidR="00940DE1">
        <w:rPr>
          <w:highlight w:val="green"/>
        </w:rPr>
        <w:fldChar w:fldCharType="separate"/>
      </w:r>
      <w:r w:rsidR="009646BC">
        <w:t>15</w:t>
      </w:r>
      <w:r w:rsidR="00940DE1">
        <w:rPr>
          <w:highlight w:val="green"/>
        </w:rPr>
        <w:fldChar w:fldCharType="end"/>
      </w:r>
      <w:r>
        <w:t xml:space="preserve"> (</w:t>
      </w:r>
      <w:r w:rsidRPr="00651F31">
        <w:rPr>
          <w:i/>
          <w:iCs/>
        </w:rPr>
        <w:t>Shortfall Amounts</w:t>
      </w:r>
      <w:r>
        <w:t xml:space="preserve">); </w:t>
      </w:r>
      <w:bookmarkEnd w:id="84"/>
    </w:p>
    <w:p w14:paraId="71DB93B9" w14:textId="3B8B3F07" w:rsidR="00651F31" w:rsidRDefault="00651F31" w:rsidP="00651F31">
      <w:pPr>
        <w:pStyle w:val="Level3"/>
      </w:pPr>
      <w:bookmarkStart w:id="85" w:name="_Ref151491400"/>
      <w:r>
        <w:t xml:space="preserve">if the Firm transfers any Transaction </w:t>
      </w:r>
      <w:r w:rsidR="003512CC">
        <w:t>to</w:t>
      </w:r>
      <w:r>
        <w:t xml:space="preserve"> its proprietary account at the Agreed CCP Service:</w:t>
      </w:r>
      <w:bookmarkEnd w:id="85"/>
    </w:p>
    <w:p w14:paraId="0FBF1818" w14:textId="367D5603" w:rsidR="00651F31" w:rsidRDefault="00651F31" w:rsidP="001A0472">
      <w:pPr>
        <w:pStyle w:val="Level4"/>
      </w:pPr>
      <w:r>
        <w:t xml:space="preserve">if the Relevant Value ascribed to such Transaction by the Firm is </w:t>
      </w:r>
      <w:r w:rsidR="008B7030">
        <w:t>negative</w:t>
      </w:r>
      <w:r>
        <w:t xml:space="preserve">, a Shortfall Amount equal to </w:t>
      </w:r>
      <w:r w:rsidR="008B7030">
        <w:t xml:space="preserve">the absolute value of </w:t>
      </w:r>
      <w:r>
        <w:t xml:space="preserve">such amount shall be payable from the Client to the Firm in accordance with clause </w:t>
      </w:r>
      <w:r w:rsidR="00940DE1">
        <w:rPr>
          <w:highlight w:val="green"/>
        </w:rPr>
        <w:fldChar w:fldCharType="begin" w:fldLock="1"/>
      </w:r>
      <w:r w:rsidR="00940DE1">
        <w:instrText xml:space="preserve"> REF _Ref139991379 \r \h </w:instrText>
      </w:r>
      <w:r w:rsidR="00940DE1">
        <w:rPr>
          <w:highlight w:val="green"/>
        </w:rPr>
      </w:r>
      <w:r w:rsidR="00940DE1">
        <w:rPr>
          <w:highlight w:val="green"/>
        </w:rPr>
        <w:fldChar w:fldCharType="separate"/>
      </w:r>
      <w:r w:rsidR="009646BC">
        <w:t>15</w:t>
      </w:r>
      <w:r w:rsidR="00940DE1">
        <w:rPr>
          <w:highlight w:val="green"/>
        </w:rPr>
        <w:fldChar w:fldCharType="end"/>
      </w:r>
      <w:r w:rsidR="00940DE1">
        <w:t xml:space="preserve"> </w:t>
      </w:r>
      <w:r>
        <w:t>(</w:t>
      </w:r>
      <w:r w:rsidRPr="00651F31">
        <w:rPr>
          <w:i/>
          <w:iCs/>
        </w:rPr>
        <w:t>Shortfall Amounts</w:t>
      </w:r>
      <w:r>
        <w:t>); and</w:t>
      </w:r>
    </w:p>
    <w:p w14:paraId="35AE045A" w14:textId="6A116A06" w:rsidR="00837A74" w:rsidRDefault="00651F31" w:rsidP="00E607BF">
      <w:pPr>
        <w:pStyle w:val="Level4"/>
      </w:pPr>
      <w:r>
        <w:t xml:space="preserve">if the Relevant Value ascribed to such Transaction by </w:t>
      </w:r>
      <w:r w:rsidR="00BD77EF">
        <w:t xml:space="preserve">the </w:t>
      </w:r>
      <w:r>
        <w:t xml:space="preserve">Firm is </w:t>
      </w:r>
      <w:r w:rsidR="008B7030">
        <w:t>positive</w:t>
      </w:r>
      <w:r>
        <w:t xml:space="preserve">, the Firm shall account to the Client for such Relevant Value as if it were </w:t>
      </w:r>
      <w:r w:rsidR="00466EFA">
        <w:t>a Title Transfer Asset</w:t>
      </w:r>
      <w:r w:rsidR="00976D87">
        <w:t xml:space="preserve"> </w:t>
      </w:r>
      <w:r>
        <w:t>in the form of cash in the Base Currency transferred by the Client to the Firm in accordance with the Title Transfer Provisions</w:t>
      </w:r>
      <w:r w:rsidR="0095137C">
        <w:t>; and</w:t>
      </w:r>
      <w:r w:rsidR="00C333BE">
        <w:t xml:space="preserve"> </w:t>
      </w:r>
    </w:p>
    <w:p w14:paraId="3F036E94" w14:textId="5F4B4B23" w:rsidR="001508D2" w:rsidRPr="001508D2" w:rsidRDefault="00D454A5" w:rsidP="00943A0F">
      <w:pPr>
        <w:pStyle w:val="Level3"/>
      </w:pPr>
      <w:bookmarkStart w:id="86" w:name="_Ref152084938"/>
      <w:r w:rsidRPr="004C0F61">
        <w:rPr>
          <w:szCs w:val="28"/>
        </w:rPr>
        <w:t xml:space="preserve">if </w:t>
      </w:r>
      <w:r w:rsidR="00B87206" w:rsidRPr="004C0F61">
        <w:rPr>
          <w:szCs w:val="28"/>
        </w:rPr>
        <w:t>the Firm</w:t>
      </w:r>
      <w:r w:rsidR="006C69DE" w:rsidRPr="004C0F61">
        <w:rPr>
          <w:szCs w:val="28"/>
        </w:rPr>
        <w:t xml:space="preserve"> incurs any other Losses</w:t>
      </w:r>
      <w:r w:rsidRPr="004C0F61">
        <w:rPr>
          <w:szCs w:val="28"/>
        </w:rPr>
        <w:t xml:space="preserve"> </w:t>
      </w:r>
      <w:r w:rsidR="00B00DA4">
        <w:rPr>
          <w:szCs w:val="28"/>
        </w:rPr>
        <w:t xml:space="preserve">or makes any other gains </w:t>
      </w:r>
      <w:r w:rsidR="006C69DE" w:rsidRPr="00674B13">
        <w:rPr>
          <w:szCs w:val="28"/>
        </w:rPr>
        <w:t xml:space="preserve">not </w:t>
      </w:r>
      <w:r w:rsidR="00C073F9" w:rsidRPr="00674B13">
        <w:rPr>
          <w:szCs w:val="28"/>
        </w:rPr>
        <w:t xml:space="preserve">already </w:t>
      </w:r>
      <w:r w:rsidR="006C69DE" w:rsidRPr="00674B13">
        <w:rPr>
          <w:szCs w:val="28"/>
        </w:rPr>
        <w:t xml:space="preserve">contemplated by this clause </w:t>
      </w:r>
      <w:r w:rsidR="006C69DE" w:rsidRPr="00674B13">
        <w:rPr>
          <w:szCs w:val="28"/>
        </w:rPr>
        <w:fldChar w:fldCharType="begin" w:fldLock="1"/>
      </w:r>
      <w:r w:rsidR="006C69DE" w:rsidRPr="00674B13">
        <w:rPr>
          <w:szCs w:val="28"/>
        </w:rPr>
        <w:instrText xml:space="preserve"> REF _Ref139990993 \r \h  \* MERGEFORMAT </w:instrText>
      </w:r>
      <w:r w:rsidR="006C69DE" w:rsidRPr="00674B13">
        <w:rPr>
          <w:szCs w:val="28"/>
        </w:rPr>
      </w:r>
      <w:r w:rsidR="006C69DE" w:rsidRPr="00674B13">
        <w:rPr>
          <w:szCs w:val="28"/>
        </w:rPr>
        <w:fldChar w:fldCharType="separate"/>
      </w:r>
      <w:r w:rsidR="009646BC">
        <w:rPr>
          <w:szCs w:val="28"/>
        </w:rPr>
        <w:t>11.2</w:t>
      </w:r>
      <w:r w:rsidR="006C69DE" w:rsidRPr="00674B13">
        <w:rPr>
          <w:szCs w:val="28"/>
        </w:rPr>
        <w:fldChar w:fldCharType="end"/>
      </w:r>
      <w:r w:rsidR="006C69DE" w:rsidRPr="00674B13">
        <w:rPr>
          <w:szCs w:val="28"/>
        </w:rPr>
        <w:t xml:space="preserve"> (</w:t>
      </w:r>
      <w:r w:rsidR="006C69DE" w:rsidRPr="00674B13">
        <w:rPr>
          <w:i/>
          <w:iCs/>
          <w:szCs w:val="28"/>
        </w:rPr>
        <w:t>Consequences of an Event of Default</w:t>
      </w:r>
      <w:r w:rsidR="006C69DE" w:rsidRPr="00674B13">
        <w:rPr>
          <w:szCs w:val="28"/>
        </w:rPr>
        <w:t xml:space="preserve">) </w:t>
      </w:r>
      <w:r w:rsidR="001508D2">
        <w:rPr>
          <w:szCs w:val="28"/>
        </w:rPr>
        <w:t xml:space="preserve">in each case </w:t>
      </w:r>
      <w:r w:rsidR="006C69DE" w:rsidRPr="00674B13">
        <w:rPr>
          <w:szCs w:val="28"/>
        </w:rPr>
        <w:t>as a result of</w:t>
      </w:r>
      <w:r w:rsidR="001508D2">
        <w:rPr>
          <w:szCs w:val="28"/>
        </w:rPr>
        <w:t>:</w:t>
      </w:r>
      <w:r w:rsidR="006C69DE" w:rsidRPr="00674B13">
        <w:rPr>
          <w:szCs w:val="28"/>
        </w:rPr>
        <w:t xml:space="preserve"> </w:t>
      </w:r>
    </w:p>
    <w:p w14:paraId="166BB84C" w14:textId="77777777" w:rsidR="00357673" w:rsidRPr="00357673" w:rsidRDefault="006C69DE" w:rsidP="00357673">
      <w:pPr>
        <w:pStyle w:val="Level4"/>
      </w:pPr>
      <w:r w:rsidRPr="001508D2">
        <w:rPr>
          <w:szCs w:val="28"/>
        </w:rPr>
        <w:lastRenderedPageBreak/>
        <w:t>entering into one or more Risk Hedging Transactions</w:t>
      </w:r>
      <w:r w:rsidR="001508D2">
        <w:rPr>
          <w:szCs w:val="28"/>
        </w:rPr>
        <w:t>;</w:t>
      </w:r>
      <w:r w:rsidRPr="001508D2">
        <w:rPr>
          <w:szCs w:val="28"/>
        </w:rPr>
        <w:t xml:space="preserve"> </w:t>
      </w:r>
    </w:p>
    <w:p w14:paraId="48D92C90" w14:textId="76BCCEDD" w:rsidR="001508D2" w:rsidRPr="001508D2" w:rsidRDefault="00357673" w:rsidP="00FD0B62">
      <w:pPr>
        <w:pStyle w:val="Level4"/>
      </w:pPr>
      <w:r w:rsidRPr="00357673">
        <w:rPr>
          <w:szCs w:val="28"/>
        </w:rPr>
        <w:t>entering into one or more Close-</w:t>
      </w:r>
      <w:r w:rsidR="00485EB6">
        <w:rPr>
          <w:szCs w:val="28"/>
        </w:rPr>
        <w:t>o</w:t>
      </w:r>
      <w:r w:rsidRPr="00357673">
        <w:rPr>
          <w:szCs w:val="28"/>
        </w:rPr>
        <w:t xml:space="preserve">ut Transactions; </w:t>
      </w:r>
      <w:r w:rsidR="005350D5" w:rsidRPr="00357673">
        <w:rPr>
          <w:szCs w:val="28"/>
        </w:rPr>
        <w:t>and/</w:t>
      </w:r>
      <w:r w:rsidR="006C69DE" w:rsidRPr="00357673">
        <w:rPr>
          <w:szCs w:val="28"/>
        </w:rPr>
        <w:t xml:space="preserve">or </w:t>
      </w:r>
    </w:p>
    <w:p w14:paraId="6DED0683" w14:textId="77777777" w:rsidR="001508D2" w:rsidRPr="001508D2" w:rsidRDefault="006C69DE" w:rsidP="001508D2">
      <w:pPr>
        <w:pStyle w:val="Level4"/>
      </w:pPr>
      <w:r w:rsidRPr="001508D2">
        <w:rPr>
          <w:szCs w:val="28"/>
        </w:rPr>
        <w:t>otherwise managing the default management process</w:t>
      </w:r>
      <w:r w:rsidR="00A827C4" w:rsidRPr="001508D2">
        <w:rPr>
          <w:szCs w:val="28"/>
        </w:rPr>
        <w:t xml:space="preserve">, </w:t>
      </w:r>
    </w:p>
    <w:p w14:paraId="26223C0A" w14:textId="7FE3E725" w:rsidR="000C614D" w:rsidRPr="009E1E35" w:rsidRDefault="00B00DA4" w:rsidP="002E4386">
      <w:pPr>
        <w:pStyle w:val="Body3"/>
      </w:pPr>
      <w:r>
        <w:t>a continuous a</w:t>
      </w:r>
      <w:r w:rsidR="00EA43F5">
        <w:t xml:space="preserve">ccount shall be taken of any such Losses and gains and, if, at any time, the net amount is a Loss, </w:t>
      </w:r>
      <w:r w:rsidR="00A827C4" w:rsidRPr="00674B13">
        <w:t xml:space="preserve">a Shortfall Amount equal to such </w:t>
      </w:r>
      <w:r w:rsidR="008F3DAD">
        <w:t>Loss</w:t>
      </w:r>
      <w:r w:rsidR="008F3DAD" w:rsidRPr="00674B13">
        <w:t xml:space="preserve"> </w:t>
      </w:r>
      <w:r w:rsidR="00A827C4" w:rsidRPr="00674B13">
        <w:t xml:space="preserve">shall be payable from the Client to the Firm in accordance with clause </w:t>
      </w:r>
      <w:r w:rsidR="00A827C4" w:rsidRPr="00674B13">
        <w:fldChar w:fldCharType="begin" w:fldLock="1"/>
      </w:r>
      <w:r w:rsidR="00A827C4" w:rsidRPr="00674B13">
        <w:instrText xml:space="preserve"> REF _Ref139991379 \r \h </w:instrText>
      </w:r>
      <w:r w:rsidR="00674B13">
        <w:instrText xml:space="preserve"> \* MERGEFORMAT </w:instrText>
      </w:r>
      <w:r w:rsidR="00A827C4" w:rsidRPr="00674B13">
        <w:fldChar w:fldCharType="separate"/>
      </w:r>
      <w:r w:rsidR="009646BC">
        <w:t>15</w:t>
      </w:r>
      <w:r w:rsidR="00A827C4" w:rsidRPr="00674B13">
        <w:fldChar w:fldCharType="end"/>
      </w:r>
      <w:r w:rsidR="00A827C4" w:rsidRPr="00674B13">
        <w:t xml:space="preserve"> (</w:t>
      </w:r>
      <w:r w:rsidR="00A827C4" w:rsidRPr="001508D2">
        <w:rPr>
          <w:i/>
          <w:iCs/>
        </w:rPr>
        <w:t>Shortfall Amounts</w:t>
      </w:r>
      <w:r w:rsidR="00A827C4" w:rsidRPr="00674B13">
        <w:t>)</w:t>
      </w:r>
      <w:r w:rsidR="008F3DAD">
        <w:t xml:space="preserve"> and</w:t>
      </w:r>
      <w:r w:rsidR="00FD7CF2">
        <w:t>, if, at any time, the net amount is a gain,</w:t>
      </w:r>
      <w:r w:rsidR="008F3DAD">
        <w:t xml:space="preserve"> the Value of such gain shall be credited to the Title Transfer Balance</w:t>
      </w:r>
      <w:r w:rsidR="00843801" w:rsidRPr="001508D2">
        <w:rPr>
          <w:szCs w:val="28"/>
        </w:rPr>
        <w:t>.</w:t>
      </w:r>
      <w:bookmarkEnd w:id="86"/>
    </w:p>
    <w:p w14:paraId="09426330" w14:textId="60F64D23" w:rsidR="00EF51B2" w:rsidRPr="00466033" w:rsidRDefault="00EF51B2" w:rsidP="00E548A0">
      <w:pPr>
        <w:pStyle w:val="Level1"/>
      </w:pPr>
      <w:bookmarkStart w:id="87" w:name="_Ref133442935"/>
      <w:r w:rsidRPr="00466033">
        <w:t>TERMINATION FOLLOWING A FIRM TRIGGER EVENT</w:t>
      </w:r>
      <w:r w:rsidR="00166687" w:rsidRPr="00466033">
        <w:rPr>
          <w:rStyle w:val="FootnoteReference"/>
          <w:b w:val="0"/>
          <w:bCs w:val="0"/>
          <w:i/>
          <w:iCs/>
        </w:rPr>
        <w:footnoteReference w:id="19"/>
      </w:r>
      <w:bookmarkEnd w:id="87"/>
    </w:p>
    <w:p w14:paraId="67866133" w14:textId="24CBEF85" w:rsidR="00EF51B2" w:rsidRPr="00466033" w:rsidRDefault="00EF51B2" w:rsidP="002E4386">
      <w:pPr>
        <w:pStyle w:val="Level2"/>
      </w:pPr>
      <w:bookmarkStart w:id="88" w:name="_Ref133341621"/>
      <w:r w:rsidRPr="00466033">
        <w:rPr>
          <w:b/>
          <w:bCs/>
          <w:i/>
          <w:iCs/>
        </w:rPr>
        <w:t xml:space="preserve">Firm Trigger Event: </w:t>
      </w:r>
      <w:r w:rsidRPr="00466033">
        <w:t xml:space="preserve">The occurrence of the following events will constitute a </w:t>
      </w:r>
      <w:r w:rsidR="002170BE">
        <w:t>“</w:t>
      </w:r>
      <w:r w:rsidRPr="00466033">
        <w:rPr>
          <w:b/>
          <w:bCs/>
        </w:rPr>
        <w:t>Firm Trigger Event</w:t>
      </w:r>
      <w:r w:rsidR="002170BE">
        <w:t>”</w:t>
      </w:r>
      <w:r w:rsidRPr="00466033">
        <w:t xml:space="preserve"> with respect to an Agreed CCP Service: (i) the relevant Agreed CCP formally declares a default in respect of the Firm; or (ii) an event</w:t>
      </w:r>
      <w:r w:rsidR="00CF75D1" w:rsidRPr="00466033">
        <w:t xml:space="preserve"> other than a CCP Default</w:t>
      </w:r>
      <w:r w:rsidRPr="00466033">
        <w:t xml:space="preserve"> that results in the termination of all relevant Transactions (or would result in the termination of all relevant Transactions if there were Transactions outstanding at that time), in each case in accordance with the Rules of the relevant Infrastructure.</w:t>
      </w:r>
      <w:bookmarkEnd w:id="88"/>
    </w:p>
    <w:p w14:paraId="1438D155" w14:textId="381EB12C" w:rsidR="00651F31" w:rsidRPr="00651F31" w:rsidRDefault="00651F31" w:rsidP="00651F31">
      <w:pPr>
        <w:pStyle w:val="Level2"/>
      </w:pPr>
      <w:bookmarkStart w:id="89" w:name="_Ref134571015"/>
      <w:bookmarkStart w:id="90" w:name="_Ref139310810"/>
      <w:r w:rsidRPr="007C13E7">
        <w:rPr>
          <w:b/>
          <w:bCs/>
          <w:i/>
          <w:iCs/>
        </w:rPr>
        <w:t>Porting of Transactions:</w:t>
      </w:r>
      <w:r w:rsidRPr="007C13E7">
        <w:t xml:space="preserve"> Any Transactions </w:t>
      </w:r>
      <w:r w:rsidR="00195529">
        <w:t xml:space="preserve">and related </w:t>
      </w:r>
      <w:r w:rsidR="00720BCC">
        <w:t xml:space="preserve">margin </w:t>
      </w:r>
      <w:r w:rsidRPr="007C13E7">
        <w:t xml:space="preserve">transferred (‘ported’) by an Agreed CCP to another clearing member following the occurrence of a Firm Trigger Event will </w:t>
      </w:r>
      <w:r w:rsidR="002F06B5">
        <w:t>no longer</w:t>
      </w:r>
      <w:r w:rsidRPr="007C13E7">
        <w:t xml:space="preserve"> be subject to the </w:t>
      </w:r>
      <w:r w:rsidR="00993ACC">
        <w:t>Segregated Asset</w:t>
      </w:r>
      <w:r w:rsidRPr="007C13E7">
        <w:t xml:space="preserve"> Terms </w:t>
      </w:r>
      <w:r w:rsidR="00B11601">
        <w:t>as provided in</w:t>
      </w:r>
      <w:r w:rsidRPr="007C13E7">
        <w:t xml:space="preserve"> clause </w:t>
      </w:r>
      <w:r>
        <w:fldChar w:fldCharType="begin" w:fldLock="1"/>
      </w:r>
      <w:r>
        <w:instrText xml:space="preserve"> REF _Ref134561083 \r \h </w:instrText>
      </w:r>
      <w:r>
        <w:fldChar w:fldCharType="separate"/>
      </w:r>
      <w:r w:rsidR="009646BC">
        <w:t>18</w:t>
      </w:r>
      <w:r>
        <w:fldChar w:fldCharType="end"/>
      </w:r>
      <w:r>
        <w:t xml:space="preserve"> </w:t>
      </w:r>
      <w:r w:rsidRPr="007C13E7">
        <w:t>(</w:t>
      </w:r>
      <w:r w:rsidRPr="007C13E7">
        <w:rPr>
          <w:i/>
          <w:iCs/>
        </w:rPr>
        <w:t>Effect of termination and transfers of Transactions</w:t>
      </w:r>
      <w:r w:rsidRPr="007C13E7">
        <w:t>).</w:t>
      </w:r>
    </w:p>
    <w:p w14:paraId="421084CA" w14:textId="77777777" w:rsidR="00651F31" w:rsidRDefault="00EF51B2" w:rsidP="00651F31">
      <w:pPr>
        <w:pStyle w:val="Level2"/>
      </w:pPr>
      <w:r w:rsidRPr="00C333BE">
        <w:rPr>
          <w:b/>
          <w:bCs/>
          <w:i/>
          <w:iCs/>
        </w:rPr>
        <w:t>Consequences of Firm Trigger Event</w:t>
      </w:r>
      <w:r w:rsidR="00AB5559" w:rsidRPr="00C333BE">
        <w:rPr>
          <w:b/>
          <w:bCs/>
          <w:i/>
          <w:iCs/>
        </w:rPr>
        <w:t xml:space="preserve">: </w:t>
      </w:r>
      <w:r w:rsidR="00651F31">
        <w:t>Following</w:t>
      </w:r>
      <w:r w:rsidR="00AB5559" w:rsidRPr="00C333BE">
        <w:t xml:space="preserve"> the occurrence of a Firm Trigger Event</w:t>
      </w:r>
      <w:r w:rsidR="00C333BE">
        <w:t>,</w:t>
      </w:r>
      <w:bookmarkEnd w:id="89"/>
      <w:r w:rsidR="00651F31">
        <w:t xml:space="preserve"> and the application of the Rules of the Agreed CCP Service: </w:t>
      </w:r>
    </w:p>
    <w:p w14:paraId="0EC314A6" w14:textId="1CA2BF36" w:rsidR="00651F31" w:rsidRDefault="002170BE" w:rsidP="00651F31">
      <w:pPr>
        <w:pStyle w:val="Level3"/>
      </w:pPr>
      <w:bookmarkStart w:id="91" w:name="_Ref152084516"/>
      <w:r w:rsidRPr="007C13E7">
        <w:t>I</w:t>
      </w:r>
      <w:r w:rsidR="00651F31" w:rsidRPr="007C13E7">
        <w:t xml:space="preserve">f an amount is due from the Agreed CCP </w:t>
      </w:r>
      <w:r w:rsidR="00651F31">
        <w:t xml:space="preserve">Service </w:t>
      </w:r>
      <w:r w:rsidR="00651F31" w:rsidRPr="007C13E7">
        <w:t xml:space="preserve">to the Firm in respect of the Transactions in a Cleared Transaction Set, any and all rights of the Firm against the Agreed CCP Service in relation to that amount shall be held by the Firm pursuant to, and in accordance with the </w:t>
      </w:r>
      <w:r w:rsidR="00993ACC">
        <w:t>Segregated Asset</w:t>
      </w:r>
      <w:r w:rsidR="00651F31" w:rsidRPr="007C13E7">
        <w:t xml:space="preserve"> Terms; and</w:t>
      </w:r>
      <w:bookmarkEnd w:id="91"/>
    </w:p>
    <w:p w14:paraId="34C88118" w14:textId="19F9AB26" w:rsidR="00EF51B2" w:rsidRDefault="00651F31" w:rsidP="00651F31">
      <w:pPr>
        <w:pStyle w:val="Level3"/>
      </w:pPr>
      <w:r w:rsidRPr="007C13E7">
        <w:t>if an amount is due from the Firm to the Agreed CCP Service in respect of the Transactions in a Cleared Transaction Set, a Shortfall Amount equal to such amount shall be p</w:t>
      </w:r>
      <w:r w:rsidRPr="006E3FAC">
        <w:t xml:space="preserve">ayable from the Client to the Firm in accordance with clause </w:t>
      </w:r>
      <w:r w:rsidR="00940DE1">
        <w:rPr>
          <w:highlight w:val="green"/>
        </w:rPr>
        <w:fldChar w:fldCharType="begin" w:fldLock="1"/>
      </w:r>
      <w:r w:rsidR="00940DE1">
        <w:instrText xml:space="preserve"> REF _Ref139991379 \r \h </w:instrText>
      </w:r>
      <w:r w:rsidR="00940DE1">
        <w:rPr>
          <w:highlight w:val="green"/>
        </w:rPr>
      </w:r>
      <w:r w:rsidR="00940DE1">
        <w:rPr>
          <w:highlight w:val="green"/>
        </w:rPr>
        <w:fldChar w:fldCharType="separate"/>
      </w:r>
      <w:r w:rsidR="009646BC">
        <w:t>15</w:t>
      </w:r>
      <w:r w:rsidR="00940DE1">
        <w:rPr>
          <w:highlight w:val="green"/>
        </w:rPr>
        <w:fldChar w:fldCharType="end"/>
      </w:r>
      <w:r w:rsidR="00940DE1">
        <w:t xml:space="preserve"> </w:t>
      </w:r>
      <w:r w:rsidRPr="006E3FAC">
        <w:t>(</w:t>
      </w:r>
      <w:r w:rsidRPr="00651F31">
        <w:rPr>
          <w:i/>
          <w:iCs/>
        </w:rPr>
        <w:t>Shortfall Amounts</w:t>
      </w:r>
      <w:r>
        <w:t>)</w:t>
      </w:r>
      <w:r w:rsidR="00A11A60" w:rsidRPr="00C333BE">
        <w:t>.</w:t>
      </w:r>
      <w:bookmarkEnd w:id="90"/>
      <w:r w:rsidR="00A11A60" w:rsidRPr="00C333BE">
        <w:t xml:space="preserve"> </w:t>
      </w:r>
    </w:p>
    <w:p w14:paraId="724291E5" w14:textId="034877EA" w:rsidR="00B06C3B" w:rsidRDefault="00B06C3B" w:rsidP="00623726">
      <w:pPr>
        <w:pStyle w:val="Level1"/>
      </w:pPr>
      <w:bookmarkStart w:id="92" w:name="_Ref133413268"/>
      <w:r>
        <w:t>TERMINATION FOLLOWING A CCP DEFAULT</w:t>
      </w:r>
      <w:bookmarkEnd w:id="92"/>
    </w:p>
    <w:p w14:paraId="0F5CB437" w14:textId="65BFF05B" w:rsidR="00B06C3B" w:rsidRPr="00C333BE" w:rsidRDefault="00B06C3B" w:rsidP="00094771">
      <w:pPr>
        <w:pStyle w:val="Level2"/>
      </w:pPr>
      <w:bookmarkStart w:id="93" w:name="_Ref161351284"/>
      <w:r w:rsidRPr="00B06C3B">
        <w:rPr>
          <w:b/>
          <w:bCs/>
          <w:i/>
          <w:iCs/>
        </w:rPr>
        <w:t>CCP Default</w:t>
      </w:r>
      <w:r w:rsidRPr="001A6624">
        <w:rPr>
          <w:b/>
          <w:bCs/>
          <w:i/>
          <w:iCs/>
        </w:rPr>
        <w:t>:</w:t>
      </w:r>
      <w:r>
        <w:t xml:space="preserve"> The occurrence of a default, termination event or other similar event in respect of an Agreed CCP that entitles the Firm to terminate, or results in </w:t>
      </w:r>
      <w:r w:rsidRPr="00C333BE">
        <w:t>automatic termination of, the Transactions shall constitute a “</w:t>
      </w:r>
      <w:r w:rsidRPr="00C333BE">
        <w:rPr>
          <w:b/>
          <w:bCs/>
        </w:rPr>
        <w:t>CCP Default</w:t>
      </w:r>
      <w:r w:rsidR="00073FFC" w:rsidRPr="00C333BE">
        <w:t>”</w:t>
      </w:r>
      <w:r w:rsidRPr="00C333BE">
        <w:t>.</w:t>
      </w:r>
      <w:bookmarkEnd w:id="93"/>
      <w:r w:rsidRPr="00C333BE">
        <w:t xml:space="preserve"> </w:t>
      </w:r>
    </w:p>
    <w:p w14:paraId="448272F5" w14:textId="52F6CEE5" w:rsidR="00651F31" w:rsidRDefault="00B06C3B" w:rsidP="00651F31">
      <w:pPr>
        <w:pStyle w:val="Level2"/>
      </w:pPr>
      <w:bookmarkStart w:id="94" w:name="_Ref139990954"/>
      <w:r w:rsidRPr="00C333BE">
        <w:rPr>
          <w:b/>
          <w:bCs/>
          <w:i/>
          <w:iCs/>
        </w:rPr>
        <w:lastRenderedPageBreak/>
        <w:t>Consequence</w:t>
      </w:r>
      <w:r w:rsidR="004A05CC">
        <w:rPr>
          <w:b/>
          <w:bCs/>
          <w:i/>
          <w:iCs/>
        </w:rPr>
        <w:t>s</w:t>
      </w:r>
      <w:r w:rsidRPr="00C333BE">
        <w:rPr>
          <w:b/>
          <w:bCs/>
          <w:i/>
          <w:iCs/>
        </w:rPr>
        <w:t xml:space="preserve"> of CCP Default: </w:t>
      </w:r>
      <w:r w:rsidR="00651F31">
        <w:t>Following</w:t>
      </w:r>
      <w:r w:rsidRPr="00C333BE">
        <w:t xml:space="preserve"> the occurrence of a CCP Default</w:t>
      </w:r>
      <w:r w:rsidR="00651F31">
        <w:t xml:space="preserve"> and the application of the Rules of the Agreed CCP Service:</w:t>
      </w:r>
      <w:bookmarkEnd w:id="94"/>
      <w:r w:rsidR="00651F31">
        <w:t xml:space="preserve"> </w:t>
      </w:r>
    </w:p>
    <w:p w14:paraId="5B810D59" w14:textId="2A8E2BD9" w:rsidR="00651F31" w:rsidRDefault="00651F31" w:rsidP="00651F31">
      <w:pPr>
        <w:pStyle w:val="Level3"/>
      </w:pPr>
      <w:bookmarkStart w:id="95" w:name="_Ref152084491"/>
      <w:r>
        <w:t xml:space="preserve">if an amount is due from the Agreed CCP Service to the Firm in respect of the Transactions in a Cleared Transaction Set, any and all rights of the Firm against the Agreed CCP Service in relation to that amount shall be held by the Firm pursuant to, and in accordance with the </w:t>
      </w:r>
      <w:r w:rsidR="00993ACC">
        <w:t>Segregated Asset</w:t>
      </w:r>
      <w:r>
        <w:t xml:space="preserve"> Terms; and</w:t>
      </w:r>
      <w:bookmarkEnd w:id="95"/>
    </w:p>
    <w:p w14:paraId="0E2D0B2D" w14:textId="7AAB5D13" w:rsidR="00B06C3B" w:rsidRDefault="00651F31" w:rsidP="00651F31">
      <w:pPr>
        <w:pStyle w:val="Level3"/>
      </w:pPr>
      <w:r>
        <w:t xml:space="preserve">if an amount is due from the Firm to the Agreed CCP Service in respect of the Transactions in a Cleared Transaction Set, a Shortfall Amount equal to such amount shall be payable from the Client to the Firm in accordance </w:t>
      </w:r>
      <w:r w:rsidRPr="006E3FAC">
        <w:t xml:space="preserve">with clause </w:t>
      </w:r>
      <w:r w:rsidR="00940DE1">
        <w:rPr>
          <w:highlight w:val="green"/>
        </w:rPr>
        <w:fldChar w:fldCharType="begin" w:fldLock="1"/>
      </w:r>
      <w:r w:rsidR="00940DE1">
        <w:instrText xml:space="preserve"> REF _Ref139991379 \r \h </w:instrText>
      </w:r>
      <w:r w:rsidR="00940DE1">
        <w:rPr>
          <w:highlight w:val="green"/>
        </w:rPr>
      </w:r>
      <w:r w:rsidR="00940DE1">
        <w:rPr>
          <w:highlight w:val="green"/>
        </w:rPr>
        <w:fldChar w:fldCharType="separate"/>
      </w:r>
      <w:r w:rsidR="009646BC">
        <w:t>15</w:t>
      </w:r>
      <w:r w:rsidR="00940DE1">
        <w:rPr>
          <w:highlight w:val="green"/>
        </w:rPr>
        <w:fldChar w:fldCharType="end"/>
      </w:r>
      <w:r>
        <w:t xml:space="preserve"> (</w:t>
      </w:r>
      <w:r w:rsidRPr="00651F31">
        <w:rPr>
          <w:i/>
          <w:iCs/>
        </w:rPr>
        <w:t>Shortfall Amounts</w:t>
      </w:r>
      <w:r>
        <w:t>)</w:t>
      </w:r>
      <w:r w:rsidR="00A11A60" w:rsidRPr="00C333BE">
        <w:t xml:space="preserve">. </w:t>
      </w:r>
    </w:p>
    <w:p w14:paraId="505D40BB" w14:textId="352ED563" w:rsidR="00C333BE" w:rsidRDefault="00C333BE" w:rsidP="004C0F61">
      <w:pPr>
        <w:pStyle w:val="Level1"/>
      </w:pPr>
      <w:r>
        <w:t xml:space="preserve">HIERARCHY OF EVENTS </w:t>
      </w:r>
    </w:p>
    <w:p w14:paraId="65579375" w14:textId="29F6ABD1" w:rsidR="00E77FA0" w:rsidRDefault="00567255" w:rsidP="00E77FA0">
      <w:pPr>
        <w:pStyle w:val="Level2"/>
      </w:pPr>
      <w:bookmarkStart w:id="96" w:name="_Ref139915816"/>
      <w:r>
        <w:rPr>
          <w:b/>
          <w:bCs/>
          <w:i/>
          <w:iCs/>
        </w:rPr>
        <w:t xml:space="preserve">Hierarchy of events: </w:t>
      </w:r>
      <w:r w:rsidR="007F1091">
        <w:t xml:space="preserve">Subject to clause </w:t>
      </w:r>
      <w:r w:rsidR="007F1091">
        <w:fldChar w:fldCharType="begin" w:fldLock="1"/>
      </w:r>
      <w:r w:rsidR="007F1091">
        <w:instrText xml:space="preserve"> REF _Ref139915840 \w \h </w:instrText>
      </w:r>
      <w:r w:rsidR="007F1091">
        <w:fldChar w:fldCharType="separate"/>
      </w:r>
      <w:r w:rsidR="009646BC">
        <w:t>14.2</w:t>
      </w:r>
      <w:r w:rsidR="007F1091">
        <w:fldChar w:fldCharType="end"/>
      </w:r>
      <w:r>
        <w:t xml:space="preserve"> (</w:t>
      </w:r>
      <w:r>
        <w:rPr>
          <w:i/>
          <w:iCs/>
        </w:rPr>
        <w:t>Priority given by Rules of Agreed CCP</w:t>
      </w:r>
      <w:r>
        <w:t>)</w:t>
      </w:r>
      <w:r w:rsidR="00582F20">
        <w:t xml:space="preserve"> but without prejudice to clause </w:t>
      </w:r>
      <w:r w:rsidR="00582F20">
        <w:fldChar w:fldCharType="begin" w:fldLock="1"/>
      </w:r>
      <w:r w:rsidR="00582F20">
        <w:instrText xml:space="preserve"> REF _Ref172731725 \w \h </w:instrText>
      </w:r>
      <w:r w:rsidR="00582F20">
        <w:fldChar w:fldCharType="separate"/>
      </w:r>
      <w:r w:rsidR="009646BC">
        <w:t>16</w:t>
      </w:r>
      <w:r w:rsidR="00582F20">
        <w:fldChar w:fldCharType="end"/>
      </w:r>
      <w:r w:rsidR="00582F20">
        <w:t xml:space="preserve"> (</w:t>
      </w:r>
      <w:r w:rsidR="00582F20">
        <w:rPr>
          <w:i/>
          <w:iCs/>
        </w:rPr>
        <w:t>Net Termination Amount</w:t>
      </w:r>
      <w:r w:rsidR="00582F20">
        <w:t>)</w:t>
      </w:r>
      <w:r w:rsidR="007F1091">
        <w:t>, if</w:t>
      </w:r>
      <w:r w:rsidR="00E77FA0">
        <w:t xml:space="preserve"> more than one of an Event of Default, a Firm Trigger Event or a CCP Default </w:t>
      </w:r>
      <w:r w:rsidR="00651F31">
        <w:t xml:space="preserve">has occurred </w:t>
      </w:r>
      <w:r w:rsidR="00E77FA0">
        <w:t>(each, a “</w:t>
      </w:r>
      <w:r w:rsidR="00E77FA0">
        <w:rPr>
          <w:b/>
          <w:bCs/>
        </w:rPr>
        <w:t>Default</w:t>
      </w:r>
      <w:r w:rsidR="00E77FA0">
        <w:t xml:space="preserve">”), then the Default on the basis of which </w:t>
      </w:r>
      <w:r w:rsidR="00651F31">
        <w:t>the CCP or the Firm first takes action (whether to port, terminate or otherwise manage any Transactions)</w:t>
      </w:r>
      <w:r w:rsidR="00E77FA0">
        <w:t xml:space="preserve"> will prevail for the purposes of the Transactions</w:t>
      </w:r>
      <w:r w:rsidR="00651F31">
        <w:t xml:space="preserve"> in the relevant Cleared Transaction Set</w:t>
      </w:r>
      <w:r w:rsidR="00E77FA0">
        <w:t>.</w:t>
      </w:r>
      <w:bookmarkEnd w:id="96"/>
      <w:r w:rsidR="00E77FA0">
        <w:t xml:space="preserve"> </w:t>
      </w:r>
    </w:p>
    <w:p w14:paraId="3F9A88D5" w14:textId="283064AB" w:rsidR="00E77FA0" w:rsidRDefault="00567255" w:rsidP="00E77FA0">
      <w:pPr>
        <w:pStyle w:val="Level2"/>
      </w:pPr>
      <w:bookmarkStart w:id="97" w:name="_Ref139915840"/>
      <w:r>
        <w:rPr>
          <w:b/>
          <w:bCs/>
          <w:i/>
          <w:iCs/>
        </w:rPr>
        <w:t xml:space="preserve">Priority given by Rules of Agreed CCP: </w:t>
      </w:r>
      <w:r w:rsidR="00E77FA0">
        <w:t xml:space="preserve">If each of a Firm Trigger Event and a CCP Default </w:t>
      </w:r>
      <w:r w:rsidR="007F1091">
        <w:t xml:space="preserve">occurs, either clause </w:t>
      </w:r>
      <w:r w:rsidR="007F1091">
        <w:fldChar w:fldCharType="begin" w:fldLock="1"/>
      </w:r>
      <w:r w:rsidR="007F1091">
        <w:instrText xml:space="preserve"> REF _Ref133442935 \w \h </w:instrText>
      </w:r>
      <w:r w:rsidR="007F1091">
        <w:fldChar w:fldCharType="separate"/>
      </w:r>
      <w:r w:rsidR="009646BC">
        <w:t>12</w:t>
      </w:r>
      <w:r w:rsidR="007F1091">
        <w:fldChar w:fldCharType="end"/>
      </w:r>
      <w:r w:rsidR="007F1091">
        <w:t xml:space="preserve"> (</w:t>
      </w:r>
      <w:r w:rsidR="007F1091">
        <w:rPr>
          <w:i/>
          <w:iCs/>
        </w:rPr>
        <w:t>Termination following a Firm Trigger Event</w:t>
      </w:r>
      <w:r w:rsidR="007F1091">
        <w:t xml:space="preserve">) or clause </w:t>
      </w:r>
      <w:r w:rsidR="007F1091">
        <w:fldChar w:fldCharType="begin" w:fldLock="1"/>
      </w:r>
      <w:r w:rsidR="007F1091">
        <w:instrText xml:space="preserve"> REF _Ref133413268 \w \h </w:instrText>
      </w:r>
      <w:r w:rsidR="007F1091">
        <w:fldChar w:fldCharType="separate"/>
      </w:r>
      <w:r w:rsidR="009646BC">
        <w:t>13</w:t>
      </w:r>
      <w:r w:rsidR="007F1091">
        <w:fldChar w:fldCharType="end"/>
      </w:r>
      <w:r w:rsidR="007F1091">
        <w:t xml:space="preserve"> (</w:t>
      </w:r>
      <w:r w:rsidR="007F1091">
        <w:rPr>
          <w:i/>
          <w:iCs/>
        </w:rPr>
        <w:t>Termination following a CCP Default</w:t>
      </w:r>
      <w:r w:rsidR="007F1091">
        <w:t xml:space="preserve">) will take priority in accordance with the order of priority, if any, given to such events in the Rules of the Agreed CCP, provided that, if no such order of priority is given in the Rules of the Agreed CCP, clause </w:t>
      </w:r>
      <w:r w:rsidR="007F1091">
        <w:fldChar w:fldCharType="begin" w:fldLock="1"/>
      </w:r>
      <w:r w:rsidR="007F1091">
        <w:instrText xml:space="preserve"> REF _Ref139915816 \w \h </w:instrText>
      </w:r>
      <w:r w:rsidR="007F1091">
        <w:fldChar w:fldCharType="separate"/>
      </w:r>
      <w:r w:rsidR="009646BC">
        <w:t>14.1</w:t>
      </w:r>
      <w:r w:rsidR="007F1091">
        <w:fldChar w:fldCharType="end"/>
      </w:r>
      <w:r>
        <w:t xml:space="preserve"> (</w:t>
      </w:r>
      <w:r>
        <w:rPr>
          <w:i/>
          <w:iCs/>
        </w:rPr>
        <w:t xml:space="preserve">Hierarchy of </w:t>
      </w:r>
      <w:r w:rsidR="00DF5902">
        <w:rPr>
          <w:i/>
          <w:iCs/>
        </w:rPr>
        <w:t>E</w:t>
      </w:r>
      <w:r>
        <w:rPr>
          <w:i/>
          <w:iCs/>
        </w:rPr>
        <w:t>vents</w:t>
      </w:r>
      <w:r>
        <w:t>)</w:t>
      </w:r>
      <w:r w:rsidR="007F1091">
        <w:t xml:space="preserve"> will apply.</w:t>
      </w:r>
      <w:bookmarkEnd w:id="97"/>
    </w:p>
    <w:p w14:paraId="438D87C5" w14:textId="68AB78DC" w:rsidR="006F3436" w:rsidRDefault="00D44016" w:rsidP="006F3436">
      <w:pPr>
        <w:pStyle w:val="Level1"/>
        <w:numPr>
          <w:ilvl w:val="0"/>
          <w:numId w:val="68"/>
        </w:numPr>
      </w:pPr>
      <w:bookmarkStart w:id="98" w:name="_Ref139991379"/>
      <w:bookmarkStart w:id="99" w:name="_Ref134091390"/>
      <w:bookmarkStart w:id="100" w:name="_Ref133407236"/>
      <w:r>
        <w:t xml:space="preserve">SHORTFALL </w:t>
      </w:r>
      <w:r w:rsidR="006F3436">
        <w:t>AMOUNTS</w:t>
      </w:r>
      <w:bookmarkEnd w:id="98"/>
    </w:p>
    <w:p w14:paraId="29283A76" w14:textId="6AE0A6EB" w:rsidR="006F3436" w:rsidRPr="00D44016" w:rsidRDefault="00D44016" w:rsidP="00D44016">
      <w:pPr>
        <w:pStyle w:val="Level2"/>
        <w:numPr>
          <w:ilvl w:val="1"/>
          <w:numId w:val="68"/>
        </w:numPr>
        <w:rPr>
          <w:b/>
          <w:bCs/>
          <w:i/>
          <w:iCs/>
        </w:rPr>
      </w:pPr>
      <w:r>
        <w:rPr>
          <w:b/>
          <w:bCs/>
          <w:i/>
          <w:iCs/>
        </w:rPr>
        <w:t xml:space="preserve">Notification of Shortfall Amount: </w:t>
      </w:r>
      <w:r>
        <w:t>If, following the occurrence of an Event of Default,</w:t>
      </w:r>
      <w:r w:rsidR="00A0123F">
        <w:t xml:space="preserve"> a</w:t>
      </w:r>
      <w:r>
        <w:t xml:space="preserve"> Firm Trigger Event or </w:t>
      </w:r>
      <w:r w:rsidR="00A0123F">
        <w:t xml:space="preserve">a </w:t>
      </w:r>
      <w:r>
        <w:t xml:space="preserve">CCP Default, </w:t>
      </w:r>
      <w:r w:rsidR="006F3436">
        <w:t xml:space="preserve">the Firm </w:t>
      </w:r>
      <w:r>
        <w:t xml:space="preserve">determines that a Shortfall Amount is due from the Client to the Firm, the Firm </w:t>
      </w:r>
      <w:r w:rsidR="006F3436">
        <w:t xml:space="preserve">will notify the Client of </w:t>
      </w:r>
      <w:r>
        <w:t xml:space="preserve">that Shortfall Amount. </w:t>
      </w:r>
    </w:p>
    <w:p w14:paraId="61BFD60E" w14:textId="212384E0" w:rsidR="006F3436" w:rsidRDefault="00D44016" w:rsidP="004D04D7">
      <w:pPr>
        <w:pStyle w:val="Level2"/>
        <w:numPr>
          <w:ilvl w:val="1"/>
          <w:numId w:val="68"/>
        </w:numPr>
      </w:pPr>
      <w:bookmarkStart w:id="101" w:name="_Ref139903974"/>
      <w:bookmarkStart w:id="102" w:name="_Ref139991361"/>
      <w:r>
        <w:rPr>
          <w:b/>
          <w:bCs/>
          <w:i/>
          <w:iCs/>
        </w:rPr>
        <w:t>S</w:t>
      </w:r>
      <w:r w:rsidR="006F3436">
        <w:rPr>
          <w:b/>
          <w:bCs/>
          <w:i/>
          <w:iCs/>
        </w:rPr>
        <w:t xml:space="preserve">ettlement of </w:t>
      </w:r>
      <w:r>
        <w:rPr>
          <w:b/>
          <w:bCs/>
          <w:i/>
          <w:iCs/>
        </w:rPr>
        <w:t>Shortfall</w:t>
      </w:r>
      <w:r w:rsidR="006F3436">
        <w:rPr>
          <w:b/>
          <w:bCs/>
          <w:i/>
          <w:iCs/>
        </w:rPr>
        <w:t xml:space="preserve"> Amount</w:t>
      </w:r>
      <w:bookmarkStart w:id="103" w:name="_Ref139903431"/>
      <w:bookmarkEnd w:id="101"/>
      <w:r>
        <w:rPr>
          <w:b/>
          <w:bCs/>
          <w:i/>
          <w:iCs/>
        </w:rPr>
        <w:t xml:space="preserve">: </w:t>
      </w:r>
      <w:r>
        <w:t>T</w:t>
      </w:r>
      <w:r w:rsidR="006F3436">
        <w:t xml:space="preserve">he Firm may apply any </w:t>
      </w:r>
      <w:r w:rsidR="008722FE">
        <w:t>Title Transfer Balance</w:t>
      </w:r>
      <w:r w:rsidR="006F3436">
        <w:t xml:space="preserve"> in respect of the Client to satisfy, in whole or in part, </w:t>
      </w:r>
      <w:r w:rsidR="008722FE">
        <w:t xml:space="preserve">any </w:t>
      </w:r>
      <w:r>
        <w:t xml:space="preserve">Shortfall </w:t>
      </w:r>
      <w:r w:rsidR="006F3436">
        <w:t xml:space="preserve">Amount due </w:t>
      </w:r>
      <w:r>
        <w:t xml:space="preserve">from the Client </w:t>
      </w:r>
      <w:r w:rsidR="006F3436">
        <w:t xml:space="preserve">to the Firm. If the Firm determines that, when taken together with any other obligations owed by the Client to the Firm pursuant to this </w:t>
      </w:r>
      <w:r w:rsidR="009B42C7">
        <w:t xml:space="preserve">Client Clearing </w:t>
      </w:r>
      <w:r w:rsidR="006F3436">
        <w:t xml:space="preserve">Agreement, it holds </w:t>
      </w:r>
      <w:r w:rsidR="008722FE">
        <w:t xml:space="preserve">an </w:t>
      </w:r>
      <w:r w:rsidR="006F3436">
        <w:t xml:space="preserve">insufficient </w:t>
      </w:r>
      <w:r w:rsidR="008722FE">
        <w:t>Title Transfer Balance</w:t>
      </w:r>
      <w:r w:rsidR="009F2B6F">
        <w:t xml:space="preserve"> </w:t>
      </w:r>
      <w:r w:rsidR="006F3436">
        <w:t xml:space="preserve">to satisfy </w:t>
      </w:r>
      <w:r w:rsidR="001E105D">
        <w:t xml:space="preserve">any </w:t>
      </w:r>
      <w:r>
        <w:t xml:space="preserve">Shortfall </w:t>
      </w:r>
      <w:r w:rsidR="006F3436">
        <w:t>Amount in full</w:t>
      </w:r>
      <w:r>
        <w:t xml:space="preserve">, </w:t>
      </w:r>
      <w:r w:rsidR="006F3436">
        <w:t>the Firm may</w:t>
      </w:r>
      <w:r w:rsidR="00CA61CF">
        <w:t xml:space="preserve"> (subject to clause </w:t>
      </w:r>
      <w:r w:rsidR="00CA61CF">
        <w:fldChar w:fldCharType="begin" w:fldLock="1"/>
      </w:r>
      <w:r w:rsidR="00CA61CF">
        <w:instrText xml:space="preserve"> REF _Ref172730239 \w \h </w:instrText>
      </w:r>
      <w:r w:rsidR="00CA61CF">
        <w:fldChar w:fldCharType="separate"/>
      </w:r>
      <w:r w:rsidR="009646BC">
        <w:t>6.5</w:t>
      </w:r>
      <w:r w:rsidR="00CA61CF">
        <w:fldChar w:fldCharType="end"/>
      </w:r>
      <w:r w:rsidR="00CA61CF">
        <w:t xml:space="preserve"> (</w:t>
      </w:r>
      <w:r w:rsidR="00CA61CF">
        <w:rPr>
          <w:i/>
          <w:iCs/>
        </w:rPr>
        <w:t>Negative Title Transfer Balance</w:t>
      </w:r>
      <w:r w:rsidR="00CA61CF">
        <w:t>))</w:t>
      </w:r>
      <w:r w:rsidR="00603A00">
        <w:t xml:space="preserve"> </w:t>
      </w:r>
      <w:bookmarkStart w:id="104" w:name="_Ref139311085"/>
      <w:bookmarkEnd w:id="102"/>
      <w:bookmarkEnd w:id="103"/>
      <w:r w:rsidR="006F3436" w:rsidRPr="00F5723A">
        <w:t>require the Client to, and the Client</w:t>
      </w:r>
      <w:r w:rsidR="006F3436">
        <w:t xml:space="preserve"> shall accordingly, transfer or make available to the Firm such amounts as are required to satisfy</w:t>
      </w:r>
      <w:r>
        <w:t xml:space="preserve"> the remaining Shortfall </w:t>
      </w:r>
      <w:r w:rsidR="006F3436">
        <w:t xml:space="preserve">Amount in </w:t>
      </w:r>
      <w:r>
        <w:t xml:space="preserve">full in </w:t>
      </w:r>
      <w:r w:rsidR="006F3436">
        <w:t>the Base Currency and on the first Business Day after delivery of the notification of the amount payable</w:t>
      </w:r>
      <w:r w:rsidR="00603A00">
        <w:t>.</w:t>
      </w:r>
      <w:bookmarkEnd w:id="104"/>
      <w:r w:rsidR="006F3436">
        <w:t xml:space="preserve"> </w:t>
      </w:r>
    </w:p>
    <w:p w14:paraId="1783CC20" w14:textId="0E34133D" w:rsidR="006F3436" w:rsidRDefault="006F3436" w:rsidP="00DD6CB8">
      <w:pPr>
        <w:pStyle w:val="Body2"/>
      </w:pPr>
      <w:r w:rsidRPr="00272180">
        <w:t xml:space="preserve">The Firm may not apply any </w:t>
      </w:r>
      <w:r w:rsidR="00FA33F9" w:rsidRPr="00272180">
        <w:t>Segregated</w:t>
      </w:r>
      <w:r w:rsidRPr="00272180">
        <w:t xml:space="preserve"> Assets to satisfy the </w:t>
      </w:r>
      <w:r w:rsidR="00D44016" w:rsidRPr="00272180">
        <w:t xml:space="preserve">Shortfall </w:t>
      </w:r>
      <w:r w:rsidRPr="00272180">
        <w:t xml:space="preserve">Amount due from the Client other than in accordance with </w:t>
      </w:r>
      <w:r w:rsidR="00D84C23" w:rsidRPr="00272180">
        <w:t>clause</w:t>
      </w:r>
      <w:r w:rsidR="00E32BD3" w:rsidRPr="00272180">
        <w:t xml:space="preserve"> </w:t>
      </w:r>
      <w:r w:rsidR="00686DA7" w:rsidRPr="00272180">
        <w:fldChar w:fldCharType="begin" w:fldLock="1"/>
      </w:r>
      <w:r w:rsidR="00686DA7" w:rsidRPr="00272180">
        <w:instrText xml:space="preserve"> REF _Ref152006724 \r \h </w:instrText>
      </w:r>
      <w:r w:rsidR="00603A00" w:rsidRPr="004D04D7">
        <w:instrText xml:space="preserve"> \* MERGEFORMAT </w:instrText>
      </w:r>
      <w:r w:rsidR="00686DA7" w:rsidRPr="00272180">
        <w:fldChar w:fldCharType="separate"/>
      </w:r>
      <w:r w:rsidR="009646BC">
        <w:t>20</w:t>
      </w:r>
      <w:r w:rsidR="00686DA7" w:rsidRPr="00272180">
        <w:fldChar w:fldCharType="end"/>
      </w:r>
      <w:r w:rsidR="00E32BD3" w:rsidRPr="00272180">
        <w:t xml:space="preserve"> </w:t>
      </w:r>
      <w:r w:rsidR="00D84C23" w:rsidRPr="00272180">
        <w:t>(</w:t>
      </w:r>
      <w:r w:rsidR="00686DA7" w:rsidRPr="00272180">
        <w:rPr>
          <w:i/>
          <w:iCs/>
        </w:rPr>
        <w:t xml:space="preserve">Additional </w:t>
      </w:r>
      <w:r w:rsidR="00DF5902">
        <w:rPr>
          <w:i/>
          <w:iCs/>
        </w:rPr>
        <w:t>R</w:t>
      </w:r>
      <w:r w:rsidR="00686DA7" w:rsidRPr="00272180">
        <w:rPr>
          <w:i/>
          <w:iCs/>
        </w:rPr>
        <w:t>ights</w:t>
      </w:r>
      <w:r w:rsidR="00D84C23" w:rsidRPr="00272180">
        <w:t>)</w:t>
      </w:r>
      <w:r w:rsidR="00603A00" w:rsidRPr="00272180">
        <w:t xml:space="preserve">. </w:t>
      </w:r>
    </w:p>
    <w:p w14:paraId="03FB80AF" w14:textId="32BE4805" w:rsidR="002B08C3" w:rsidRPr="004C0F61" w:rsidRDefault="00DC2F80" w:rsidP="004C0F61">
      <w:pPr>
        <w:pStyle w:val="Level1"/>
        <w:numPr>
          <w:ilvl w:val="0"/>
          <w:numId w:val="68"/>
        </w:numPr>
      </w:pPr>
      <w:bookmarkStart w:id="105" w:name="_Ref172731725"/>
      <w:bookmarkStart w:id="106" w:name="_Ref139919820"/>
      <w:r w:rsidRPr="004C0F61">
        <w:lastRenderedPageBreak/>
        <w:t>NET TERMINATION AMOUNT</w:t>
      </w:r>
      <w:bookmarkEnd w:id="105"/>
    </w:p>
    <w:p w14:paraId="42BEBC17" w14:textId="634D706A" w:rsidR="002B48A0" w:rsidRDefault="002F3CC7" w:rsidP="002353CE">
      <w:pPr>
        <w:pStyle w:val="Level2"/>
        <w:numPr>
          <w:ilvl w:val="1"/>
          <w:numId w:val="68"/>
        </w:numPr>
      </w:pPr>
      <w:bookmarkStart w:id="107" w:name="_Ref152142468"/>
      <w:r w:rsidRPr="002F3CC7">
        <w:rPr>
          <w:b/>
          <w:bCs/>
          <w:i/>
          <w:iCs/>
        </w:rPr>
        <w:t xml:space="preserve">Net Termination </w:t>
      </w:r>
      <w:r w:rsidR="00D510EE">
        <w:rPr>
          <w:b/>
          <w:bCs/>
          <w:i/>
          <w:iCs/>
        </w:rPr>
        <w:t>Date</w:t>
      </w:r>
      <w:r w:rsidR="002353CE">
        <w:rPr>
          <w:b/>
          <w:bCs/>
          <w:i/>
          <w:iCs/>
        </w:rPr>
        <w:t xml:space="preserve">: </w:t>
      </w:r>
      <w:r w:rsidR="000C2D89">
        <w:t>At any time following an Event of Default, the Firm may, by notice to the Client, specify a date (the “</w:t>
      </w:r>
      <w:r>
        <w:rPr>
          <w:b/>
          <w:bCs/>
        </w:rPr>
        <w:t>Net Termination Date</w:t>
      </w:r>
      <w:r w:rsidR="000C2D89" w:rsidRPr="000C2D89">
        <w:t>”</w:t>
      </w:r>
      <w:r w:rsidR="000C2D89">
        <w:t>)</w:t>
      </w:r>
      <w:r w:rsidR="0075758C">
        <w:t xml:space="preserve">. Upon the occurrence of a </w:t>
      </w:r>
      <w:r w:rsidRPr="00614504">
        <w:t>Net Termination</w:t>
      </w:r>
      <w:r w:rsidRPr="002F3CC7">
        <w:rPr>
          <w:b/>
          <w:bCs/>
        </w:rPr>
        <w:t xml:space="preserve"> </w:t>
      </w:r>
      <w:r w:rsidR="0075758C">
        <w:t xml:space="preserve">Date, no further payments </w:t>
      </w:r>
      <w:r w:rsidR="00091C55">
        <w:t>or deliveries in respect of the Agreement, howsoever described, will be required to be made, and an amount equal to the Net Termination Amount will instead be payable (whether by payment, set-off or otherwise)</w:t>
      </w:r>
      <w:r w:rsidR="003574EE">
        <w:t>.</w:t>
      </w:r>
      <w:bookmarkEnd w:id="107"/>
      <w:r w:rsidR="0075758C">
        <w:t xml:space="preserve"> </w:t>
      </w:r>
    </w:p>
    <w:p w14:paraId="06DFA75C" w14:textId="68BDD507" w:rsidR="00C55780" w:rsidRDefault="00C55780" w:rsidP="002353CE">
      <w:pPr>
        <w:pStyle w:val="Level2"/>
        <w:numPr>
          <w:ilvl w:val="1"/>
          <w:numId w:val="68"/>
        </w:numPr>
      </w:pPr>
      <w:bookmarkStart w:id="108" w:name="_Ref172730534"/>
      <w:r>
        <w:rPr>
          <w:b/>
          <w:bCs/>
          <w:i/>
          <w:iCs/>
        </w:rPr>
        <w:t>Settlement of Net Termination Amount:</w:t>
      </w:r>
      <w:r>
        <w:t xml:space="preserve"> </w:t>
      </w:r>
      <w:r w:rsidR="00651A7E">
        <w:t>If</w:t>
      </w:r>
      <w:r w:rsidR="00ED1D5D">
        <w:t>:</w:t>
      </w:r>
      <w:bookmarkEnd w:id="108"/>
      <w:r w:rsidR="00B96D06">
        <w:t xml:space="preserve"> </w:t>
      </w:r>
    </w:p>
    <w:p w14:paraId="0A677917" w14:textId="50031C44" w:rsidR="00CA61CF" w:rsidRDefault="00B61479" w:rsidP="00CA61CF">
      <w:pPr>
        <w:pStyle w:val="Level3"/>
      </w:pPr>
      <w:bookmarkStart w:id="109" w:name="_Ref172730555"/>
      <w:bookmarkStart w:id="110" w:name="_Ref172731281"/>
      <w:r>
        <w:t xml:space="preserve">the </w:t>
      </w:r>
      <w:r w:rsidR="002F70FA">
        <w:t>Net Termination Amount</w:t>
      </w:r>
      <w:r>
        <w:t xml:space="preserve"> is negative, </w:t>
      </w:r>
      <w:r w:rsidR="00CA61CF">
        <w:t>an amount</w:t>
      </w:r>
      <w:r>
        <w:t xml:space="preserve"> equal to the absolute value of such</w:t>
      </w:r>
      <w:r w:rsidR="006A0117">
        <w:t xml:space="preserve"> Net Termination Amount</w:t>
      </w:r>
      <w:r>
        <w:t xml:space="preserve"> shall be payable </w:t>
      </w:r>
      <w:r w:rsidR="006A0117">
        <w:t>by</w:t>
      </w:r>
      <w:r>
        <w:t xml:space="preserve"> the Client to the Firm</w:t>
      </w:r>
      <w:r w:rsidR="00CA61CF">
        <w:t xml:space="preserve"> in full in the Base Currency and on the first Business Day after delivery of the notification of the amount payable;</w:t>
      </w:r>
      <w:bookmarkEnd w:id="109"/>
      <w:r w:rsidR="00CA61CF">
        <w:t xml:space="preserve"> </w:t>
      </w:r>
      <w:r w:rsidR="006A0117">
        <w:t>and</w:t>
      </w:r>
      <w:bookmarkEnd w:id="110"/>
      <w:r w:rsidR="006A0117">
        <w:t xml:space="preserve"> </w:t>
      </w:r>
    </w:p>
    <w:p w14:paraId="4F37A3F2" w14:textId="12C9DC9C" w:rsidR="002B08C3" w:rsidRDefault="00B61479" w:rsidP="004C0F61">
      <w:pPr>
        <w:pStyle w:val="Level3"/>
      </w:pPr>
      <w:bookmarkStart w:id="111" w:name="_Ref172731344"/>
      <w:r>
        <w:t xml:space="preserve">the </w:t>
      </w:r>
      <w:r w:rsidR="002F70FA">
        <w:t>Net Termination Amount</w:t>
      </w:r>
      <w:r>
        <w:t xml:space="preserve"> is positive, the </w:t>
      </w:r>
      <w:r w:rsidR="007155E9">
        <w:t xml:space="preserve">Net Termination Amount </w:t>
      </w:r>
      <w:r w:rsidR="006A0117">
        <w:t>shall be payable by the Firm to the Client in full in the Base Currency.</w:t>
      </w:r>
      <w:bookmarkEnd w:id="111"/>
      <w:r w:rsidR="006A0117">
        <w:t xml:space="preserve"> </w:t>
      </w:r>
    </w:p>
    <w:p w14:paraId="141272F0" w14:textId="30B60863" w:rsidR="00CA61CF" w:rsidRPr="007155E9" w:rsidRDefault="00CA61CF" w:rsidP="004327E0">
      <w:pPr>
        <w:pStyle w:val="Level2"/>
      </w:pPr>
      <w:r>
        <w:rPr>
          <w:b/>
          <w:bCs/>
          <w:i/>
          <w:iCs/>
        </w:rPr>
        <w:t xml:space="preserve">Set-off following an Event of Default: </w:t>
      </w:r>
      <w:r>
        <w:t>The Firm may also, following an Event of Default</w:t>
      </w:r>
      <w:r w:rsidR="006A0117">
        <w:t>, exercise its rights under clause</w:t>
      </w:r>
      <w:r w:rsidR="00582F20">
        <w:t xml:space="preserve"> </w:t>
      </w:r>
      <w:r w:rsidR="00582F20">
        <w:fldChar w:fldCharType="begin" w:fldLock="1"/>
      </w:r>
      <w:r w:rsidR="00582F20">
        <w:instrText xml:space="preserve"> REF _Ref133442876 \w \h </w:instrText>
      </w:r>
      <w:r w:rsidR="00582F20">
        <w:fldChar w:fldCharType="separate"/>
      </w:r>
      <w:r w:rsidR="009646BC">
        <w:t>20.1</w:t>
      </w:r>
      <w:r w:rsidR="00582F20">
        <w:fldChar w:fldCharType="end"/>
      </w:r>
      <w:r w:rsidR="00582F20">
        <w:t xml:space="preserve"> (</w:t>
      </w:r>
      <w:r w:rsidR="00582F20">
        <w:rPr>
          <w:i/>
          <w:iCs/>
        </w:rPr>
        <w:t>Set-off</w:t>
      </w:r>
      <w:r w:rsidR="00582F20">
        <w:t>)</w:t>
      </w:r>
      <w:r w:rsidR="006A0117">
        <w:t xml:space="preserve"> </w:t>
      </w:r>
      <w:r w:rsidR="00ED769F">
        <w:t xml:space="preserve">and clause </w:t>
      </w:r>
      <w:r w:rsidR="00ED769F">
        <w:fldChar w:fldCharType="begin" w:fldLock="1"/>
      </w:r>
      <w:r w:rsidR="00ED769F">
        <w:instrText xml:space="preserve"> REF _Ref172731263 \w \h </w:instrText>
      </w:r>
      <w:r w:rsidR="00ED769F">
        <w:fldChar w:fldCharType="separate"/>
      </w:r>
      <w:r w:rsidR="009646BC">
        <w:t>20.2</w:t>
      </w:r>
      <w:r w:rsidR="00ED769F">
        <w:fldChar w:fldCharType="end"/>
      </w:r>
      <w:r w:rsidR="00ED769F">
        <w:t xml:space="preserve"> (</w:t>
      </w:r>
      <w:r w:rsidR="00ED769F">
        <w:rPr>
          <w:i/>
          <w:iCs/>
        </w:rPr>
        <w:t>Runnin</w:t>
      </w:r>
      <w:r w:rsidR="00ED769F" w:rsidRPr="00ED769F">
        <w:rPr>
          <w:i/>
          <w:iCs/>
        </w:rPr>
        <w:t>g account</w:t>
      </w:r>
      <w:r w:rsidR="00ED769F">
        <w:t xml:space="preserve">) </w:t>
      </w:r>
      <w:r w:rsidR="006A0117" w:rsidRPr="00ED769F">
        <w:t>to</w:t>
      </w:r>
      <w:r w:rsidR="006A0117">
        <w:t xml:space="preserve"> apply any </w:t>
      </w:r>
      <w:r w:rsidR="00582F20">
        <w:t xml:space="preserve">amount owed by </w:t>
      </w:r>
      <w:r w:rsidR="006A0117">
        <w:t xml:space="preserve">the Client </w:t>
      </w:r>
      <w:r w:rsidR="00582F20">
        <w:t xml:space="preserve">to the Firm </w:t>
      </w:r>
      <w:r w:rsidR="006A0117">
        <w:t xml:space="preserve">(including </w:t>
      </w:r>
      <w:r w:rsidR="00582F20">
        <w:t xml:space="preserve">any amount owed pursuant to </w:t>
      </w:r>
      <w:r w:rsidR="006A0117">
        <w:t xml:space="preserve">clause </w:t>
      </w:r>
      <w:r w:rsidR="00582F20">
        <w:fldChar w:fldCharType="begin" w:fldLock="1"/>
      </w:r>
      <w:r w:rsidR="00582F20">
        <w:instrText xml:space="preserve"> REF _Ref172731281 \w \h </w:instrText>
      </w:r>
      <w:r w:rsidR="00582F20">
        <w:fldChar w:fldCharType="separate"/>
      </w:r>
      <w:r w:rsidR="009646BC">
        <w:t>16.2.1</w:t>
      </w:r>
      <w:r w:rsidR="00582F20">
        <w:fldChar w:fldCharType="end"/>
      </w:r>
      <w:r w:rsidR="006A0117">
        <w:t xml:space="preserve"> (</w:t>
      </w:r>
      <w:r w:rsidR="006A0117">
        <w:rPr>
          <w:i/>
          <w:iCs/>
        </w:rPr>
        <w:t>Settlement of Net Termination Amount</w:t>
      </w:r>
      <w:r w:rsidR="006A0117">
        <w:t xml:space="preserve">)) against </w:t>
      </w:r>
      <w:r w:rsidR="00582F20">
        <w:t>any amount owed by the Firm to the Client (including any amount owed pursuant to</w:t>
      </w:r>
      <w:r w:rsidR="00E13CF2">
        <w:t xml:space="preserve"> clause</w:t>
      </w:r>
      <w:r w:rsidR="00582F20">
        <w:t xml:space="preserve"> </w:t>
      </w:r>
      <w:r w:rsidR="00582F20">
        <w:fldChar w:fldCharType="begin" w:fldLock="1"/>
      </w:r>
      <w:r w:rsidR="00582F20">
        <w:instrText xml:space="preserve"> REF _Ref172731344 \w \h </w:instrText>
      </w:r>
      <w:r w:rsidR="00582F20">
        <w:fldChar w:fldCharType="separate"/>
      </w:r>
      <w:r w:rsidR="009646BC">
        <w:t>16.2.2</w:t>
      </w:r>
      <w:r w:rsidR="00582F20">
        <w:fldChar w:fldCharType="end"/>
      </w:r>
      <w:r w:rsidR="00582F20">
        <w:t xml:space="preserve"> (</w:t>
      </w:r>
      <w:r w:rsidR="00582F20">
        <w:rPr>
          <w:i/>
          <w:iCs/>
        </w:rPr>
        <w:t>Settlement of Net Termination Amount</w:t>
      </w:r>
      <w:r w:rsidR="00582F20">
        <w:t xml:space="preserve">)). </w:t>
      </w:r>
    </w:p>
    <w:p w14:paraId="1FD3BCED" w14:textId="16242711" w:rsidR="00D44016" w:rsidRPr="0094195C" w:rsidRDefault="00D44016" w:rsidP="004C0F61">
      <w:pPr>
        <w:pStyle w:val="Level1"/>
        <w:numPr>
          <w:ilvl w:val="0"/>
          <w:numId w:val="68"/>
        </w:numPr>
      </w:pPr>
      <w:r w:rsidRPr="0094195C">
        <w:t>DIRECT SETTLEMENT</w:t>
      </w:r>
    </w:p>
    <w:p w14:paraId="14735A19" w14:textId="18C34E0E" w:rsidR="006F3436" w:rsidRPr="00094771" w:rsidRDefault="006F3436" w:rsidP="001543B4">
      <w:pPr>
        <w:pStyle w:val="Level2"/>
        <w:numPr>
          <w:ilvl w:val="0"/>
          <w:numId w:val="0"/>
        </w:numPr>
        <w:ind w:left="680"/>
        <w:rPr>
          <w:highlight w:val="lightGray"/>
        </w:rPr>
      </w:pPr>
      <w:r>
        <w:t>The Client will notify the Firm promptly after becoming aware that it has been paid an amount or received credit or any asset (or will be paid or receive credit or any asset) directly from an Agreed CCP in connection with one or more Transactions. If any such amount, credit or asset is received by the Client, then</w:t>
      </w:r>
      <w:r w:rsidR="00C34984">
        <w:t xml:space="preserve"> the Parties acknowledge that</w:t>
      </w:r>
      <w:r>
        <w:t xml:space="preserve"> to the extent that any corresponding right of the Firm as against the </w:t>
      </w:r>
      <w:r w:rsidR="00DA6391">
        <w:t xml:space="preserve">Agreed </w:t>
      </w:r>
      <w:r>
        <w:t xml:space="preserve">CCP to such amount, credit or asset is extinguished, that right will cease to be subject to the </w:t>
      </w:r>
      <w:r w:rsidR="00993ACC">
        <w:t>Segregated Asset</w:t>
      </w:r>
      <w:r>
        <w:t xml:space="preserve"> Terms. </w:t>
      </w:r>
      <w:bookmarkEnd w:id="99"/>
      <w:bookmarkEnd w:id="106"/>
    </w:p>
    <w:p w14:paraId="7D1E28DE" w14:textId="56A7DC48" w:rsidR="00F3566B" w:rsidRPr="00F3566B" w:rsidRDefault="00F3566B" w:rsidP="001A6624">
      <w:pPr>
        <w:pStyle w:val="Level1"/>
        <w:keepNext w:val="0"/>
      </w:pPr>
      <w:bookmarkStart w:id="112" w:name="_Ref134561083"/>
      <w:bookmarkEnd w:id="100"/>
      <w:r>
        <w:t>EFFECT OF TERMINATION AND TRANSFERS OF TRANSACTIONS</w:t>
      </w:r>
      <w:bookmarkEnd w:id="112"/>
    </w:p>
    <w:p w14:paraId="31B7BCD6" w14:textId="26798004" w:rsidR="00F3566B" w:rsidRDefault="00F3566B" w:rsidP="00191699">
      <w:pPr>
        <w:pStyle w:val="Body1"/>
      </w:pPr>
      <w:bookmarkStart w:id="113" w:name="_Ref134559018"/>
      <w:r>
        <w:t>Upon</w:t>
      </w:r>
      <w:r w:rsidR="00E13CF2">
        <w:t>:</w:t>
      </w:r>
      <w:r w:rsidR="00940DE1">
        <w:t xml:space="preserve"> (</w:t>
      </w:r>
      <w:r w:rsidR="00E13CF2">
        <w:t>i</w:t>
      </w:r>
      <w:r w:rsidR="00940DE1">
        <w:t>)</w:t>
      </w:r>
      <w:r>
        <w:t xml:space="preserve"> the transfer of Transactions</w:t>
      </w:r>
      <w:r w:rsidR="00195529">
        <w:t xml:space="preserve"> and</w:t>
      </w:r>
      <w:r w:rsidR="000D7734">
        <w:t xml:space="preserve"> any</w:t>
      </w:r>
      <w:r w:rsidR="00195529">
        <w:t xml:space="preserve"> related </w:t>
      </w:r>
      <w:r w:rsidR="00720BCC">
        <w:t xml:space="preserve">margin </w:t>
      </w:r>
      <w:r w:rsidRPr="00E37888">
        <w:t xml:space="preserve">held for the benefit of </w:t>
      </w:r>
      <w:r w:rsidR="00F25705" w:rsidRPr="00E37888">
        <w:t xml:space="preserve">the </w:t>
      </w:r>
      <w:r w:rsidRPr="00E37888">
        <w:t>Client</w:t>
      </w:r>
      <w:r w:rsidR="00FF4875" w:rsidRPr="00E37888">
        <w:t xml:space="preserve"> </w:t>
      </w:r>
      <w:r w:rsidRPr="00E37888">
        <w:t>from</w:t>
      </w:r>
      <w:r>
        <w:t xml:space="preserve"> the </w:t>
      </w:r>
      <w:r w:rsidR="003333CE">
        <w:t>Segregated</w:t>
      </w:r>
      <w:r>
        <w:t xml:space="preserve"> Account of the Firm at the relevant Agreed CCP in accordance with clause </w:t>
      </w:r>
      <w:r w:rsidR="00235C7B">
        <w:fldChar w:fldCharType="begin" w:fldLock="1"/>
      </w:r>
      <w:r w:rsidR="00235C7B">
        <w:instrText xml:space="preserve"> REF _Ref134560197 \r \h </w:instrText>
      </w:r>
      <w:r w:rsidR="00235C7B">
        <w:fldChar w:fldCharType="separate"/>
      </w:r>
      <w:r w:rsidR="009646BC">
        <w:t>4</w:t>
      </w:r>
      <w:r w:rsidR="00235C7B">
        <w:fldChar w:fldCharType="end"/>
      </w:r>
      <w:r w:rsidR="00235C7B">
        <w:t xml:space="preserve"> (</w:t>
      </w:r>
      <w:r w:rsidR="00235C7B">
        <w:rPr>
          <w:i/>
          <w:iCs/>
        </w:rPr>
        <w:t>Porting</w:t>
      </w:r>
      <w:r w:rsidR="00235C7B">
        <w:t>)</w:t>
      </w:r>
      <w:r w:rsidR="00607F2B">
        <w:t xml:space="preserve"> or</w:t>
      </w:r>
      <w:r w:rsidR="00397504">
        <w:t xml:space="preserve"> </w:t>
      </w:r>
      <w:r w:rsidR="00567255">
        <w:t>on the occurrence of a Firm Trigger Event</w:t>
      </w:r>
      <w:r w:rsidR="00E13CF2">
        <w:t>;</w:t>
      </w:r>
      <w:r w:rsidR="00567255">
        <w:t xml:space="preserve"> </w:t>
      </w:r>
      <w:r w:rsidRPr="00607F2B">
        <w:t>or</w:t>
      </w:r>
      <w:r w:rsidR="00940DE1">
        <w:t xml:space="preserve"> (</w:t>
      </w:r>
      <w:r w:rsidR="00E13CF2">
        <w:t>ii</w:t>
      </w:r>
      <w:r w:rsidR="00940DE1">
        <w:t>)</w:t>
      </w:r>
      <w:r>
        <w:t xml:space="preserve"> the termination of Transactions:</w:t>
      </w:r>
      <w:bookmarkEnd w:id="113"/>
    </w:p>
    <w:p w14:paraId="1612456D" w14:textId="1535AAB4" w:rsidR="00F3566B" w:rsidRDefault="00556EB0" w:rsidP="00E13CF2">
      <w:pPr>
        <w:pStyle w:val="alpha2"/>
      </w:pPr>
      <w:bookmarkStart w:id="114" w:name="_Ref134649597"/>
      <w:r>
        <w:t xml:space="preserve">subject to clause </w:t>
      </w:r>
      <w:r w:rsidR="00646CBA">
        <w:fldChar w:fldCharType="begin" w:fldLock="1"/>
      </w:r>
      <w:r w:rsidR="00646CBA">
        <w:instrText xml:space="preserve"> REF _Ref134561083 \r \h </w:instrText>
      </w:r>
      <w:r w:rsidR="00646CBA">
        <w:fldChar w:fldCharType="separate"/>
      </w:r>
      <w:r w:rsidR="009646BC">
        <w:t>18</w:t>
      </w:r>
      <w:r w:rsidR="00646CBA">
        <w:fldChar w:fldCharType="end"/>
      </w:r>
      <w:r>
        <w:fldChar w:fldCharType="begin" w:fldLock="1"/>
      </w:r>
      <w:r>
        <w:instrText xml:space="preserve"> REF _Ref134651596 \r \h </w:instrText>
      </w:r>
      <w:r>
        <w:fldChar w:fldCharType="separate"/>
      </w:r>
      <w:r w:rsidR="009646BC">
        <w:t>(b)</w:t>
      </w:r>
      <w:r>
        <w:fldChar w:fldCharType="end"/>
      </w:r>
      <w:r>
        <w:t xml:space="preserve">, </w:t>
      </w:r>
      <w:r w:rsidR="00F3566B">
        <w:t xml:space="preserve">such Transactions </w:t>
      </w:r>
      <w:r w:rsidR="00195529">
        <w:t xml:space="preserve">and related </w:t>
      </w:r>
      <w:r w:rsidR="00720BCC">
        <w:t xml:space="preserve">margin </w:t>
      </w:r>
      <w:r w:rsidR="00F3566B">
        <w:t xml:space="preserve">will </w:t>
      </w:r>
      <w:r w:rsidR="004A019F">
        <w:t>no longer</w:t>
      </w:r>
      <w:r w:rsidR="00F3566B">
        <w:t xml:space="preserve"> be held by the Firm pursuant to</w:t>
      </w:r>
      <w:r w:rsidR="00347C68">
        <w:t>, and in accordance with,</w:t>
      </w:r>
      <w:r w:rsidR="00F3566B">
        <w:t xml:space="preserve"> the </w:t>
      </w:r>
      <w:r w:rsidR="00993ACC">
        <w:t>Segregated Asset</w:t>
      </w:r>
      <w:r w:rsidR="00094A99">
        <w:t xml:space="preserve"> Terms</w:t>
      </w:r>
      <w:r w:rsidR="00F3566B">
        <w:t xml:space="preserve"> and the Firm will be automatically and immediately released and discharged from all further obligations or duties in relation to those Transactions;</w:t>
      </w:r>
      <w:bookmarkEnd w:id="114"/>
      <w:r w:rsidR="00F3566B">
        <w:t xml:space="preserve"> </w:t>
      </w:r>
    </w:p>
    <w:p w14:paraId="4F4B63A2" w14:textId="27E2A7D5" w:rsidR="00902D12" w:rsidRDefault="00902D12" w:rsidP="00372858">
      <w:pPr>
        <w:pStyle w:val="alpha2"/>
      </w:pPr>
      <w:bookmarkStart w:id="115" w:name="_Ref134651596"/>
      <w:r>
        <w:t xml:space="preserve">any rights of the Firm </w:t>
      </w:r>
      <w:r w:rsidR="00556EB0">
        <w:t xml:space="preserve">against the CCP </w:t>
      </w:r>
      <w:r>
        <w:t>in respect of the terminated or ported Transactions will continue to be held by the Firm pursuant to</w:t>
      </w:r>
      <w:r w:rsidR="00347C68">
        <w:t>, and in accordance with,</w:t>
      </w:r>
      <w:r>
        <w:t xml:space="preserve"> the </w:t>
      </w:r>
      <w:r w:rsidR="00993ACC">
        <w:t>Segregated Asset</w:t>
      </w:r>
      <w:r>
        <w:t xml:space="preserve"> Terms until such rights are satisfied in full and the Firm will,</w:t>
      </w:r>
      <w:r w:rsidR="00556EB0">
        <w:t xml:space="preserve"> at such time</w:t>
      </w:r>
      <w:r>
        <w:t>, be automatically and immediately released and discharged from all further obligations or duties in relation to those rights</w:t>
      </w:r>
      <w:bookmarkEnd w:id="115"/>
      <w:r w:rsidR="00556EB0">
        <w:t xml:space="preserve">; </w:t>
      </w:r>
      <w:r w:rsidR="00ED769F">
        <w:t>and</w:t>
      </w:r>
    </w:p>
    <w:p w14:paraId="55E55FF7" w14:textId="79D4F485" w:rsidR="00ED769F" w:rsidRDefault="00ED769F" w:rsidP="00372858">
      <w:pPr>
        <w:pStyle w:val="alpha2"/>
      </w:pPr>
      <w:r>
        <w:lastRenderedPageBreak/>
        <w:t xml:space="preserve">any Title Transfer Assets received by the Firm (including any Settled Assets received, or Deemed Settled Assets that are deemed received, </w:t>
      </w:r>
      <w:r w:rsidRPr="00E05F9F">
        <w:t>by the Firm</w:t>
      </w:r>
      <w:r>
        <w:t>)</w:t>
      </w:r>
      <w:r w:rsidRPr="00E05F9F">
        <w:t xml:space="preserve"> in relation to those Transactions following the termination or transfer of such Transactions</w:t>
      </w:r>
      <w:r>
        <w:t xml:space="preserve"> shall accrue to the Title Transfer Balance and </w:t>
      </w:r>
      <w:r w:rsidR="00BF2A88">
        <w:t>be accounted for by the Firm to the Client</w:t>
      </w:r>
      <w:r>
        <w:t xml:space="preserve"> in accordance with the Title Transfer Provisions and, if applicable, clause </w:t>
      </w:r>
      <w:r>
        <w:fldChar w:fldCharType="begin" w:fldLock="1"/>
      </w:r>
      <w:r>
        <w:instrText xml:space="preserve"> REF _Ref172724422 \w \h </w:instrText>
      </w:r>
      <w:r>
        <w:fldChar w:fldCharType="separate"/>
      </w:r>
      <w:r w:rsidR="009646BC">
        <w:t>8</w:t>
      </w:r>
      <w:r>
        <w:fldChar w:fldCharType="end"/>
      </w:r>
      <w:r>
        <w:t xml:space="preserve"> </w:t>
      </w:r>
      <w:r w:rsidRPr="00E05F9F">
        <w:t>(</w:t>
      </w:r>
      <w:r>
        <w:rPr>
          <w:i/>
          <w:iCs/>
        </w:rPr>
        <w:t>Settled Assets</w:t>
      </w:r>
      <w:r w:rsidRPr="004C0F61">
        <w:t>)</w:t>
      </w:r>
      <w:r w:rsidR="00BF2A88">
        <w:t xml:space="preserve">. </w:t>
      </w:r>
    </w:p>
    <w:p w14:paraId="333A8872" w14:textId="18FCD753" w:rsidR="0042578A" w:rsidRDefault="0042578A" w:rsidP="00623726">
      <w:pPr>
        <w:pStyle w:val="Level1"/>
      </w:pPr>
      <w:bookmarkStart w:id="116" w:name="_Ref161350950"/>
      <w:r>
        <w:t>LIMITED RECOURSE</w:t>
      </w:r>
      <w:bookmarkEnd w:id="116"/>
    </w:p>
    <w:p w14:paraId="14BCF7D9" w14:textId="66D4E85C" w:rsidR="00E632A8" w:rsidRDefault="00E632A8" w:rsidP="00094771">
      <w:pPr>
        <w:pStyle w:val="Level2"/>
      </w:pPr>
      <w:r w:rsidRPr="00E632A8">
        <w:rPr>
          <w:b/>
          <w:bCs/>
          <w:i/>
          <w:iCs/>
        </w:rPr>
        <w:t>Limitation of recourse</w:t>
      </w:r>
      <w:r w:rsidRPr="00BE157C">
        <w:t>:</w:t>
      </w:r>
      <w:r>
        <w:t xml:space="preserve"> The Client agrees that </w:t>
      </w:r>
      <w:r w:rsidR="005F42F5">
        <w:t>its recourse against the Firm shall be limited to</w:t>
      </w:r>
      <w:r w:rsidR="00E13CF2">
        <w:t>:</w:t>
      </w:r>
      <w:r w:rsidR="005F42F5">
        <w:t xml:space="preserve"> </w:t>
      </w:r>
      <w:r w:rsidR="005923BB">
        <w:t>(</w:t>
      </w:r>
      <w:r w:rsidR="00E13CF2">
        <w:t>i</w:t>
      </w:r>
      <w:r w:rsidR="005923BB">
        <w:t xml:space="preserve">) </w:t>
      </w:r>
      <w:r w:rsidR="005F42F5">
        <w:t>the</w:t>
      </w:r>
      <w:r w:rsidR="0041640B">
        <w:t xml:space="preserve"> portion of the</w:t>
      </w:r>
      <w:r w:rsidR="005F42F5">
        <w:t xml:space="preserve"> </w:t>
      </w:r>
      <w:r w:rsidR="00FA33F9">
        <w:t>Segregated</w:t>
      </w:r>
      <w:r w:rsidR="00094A99">
        <w:t xml:space="preserve"> </w:t>
      </w:r>
      <w:r w:rsidR="00094A99" w:rsidRPr="00DD0C71">
        <w:t>Assets</w:t>
      </w:r>
      <w:r w:rsidR="005F42F5" w:rsidRPr="00DD0C71">
        <w:t xml:space="preserve"> held </w:t>
      </w:r>
      <w:r w:rsidR="00561D38" w:rsidRPr="00DD0C71">
        <w:t xml:space="preserve">by the Firm for the benefit of the Client </w:t>
      </w:r>
      <w:r w:rsidR="004205C8" w:rsidRPr="00DD0C71">
        <w:t xml:space="preserve">pursuant to the </w:t>
      </w:r>
      <w:r w:rsidR="00993ACC">
        <w:t>Segregated Asset</w:t>
      </w:r>
      <w:r w:rsidR="004205C8" w:rsidRPr="00DD0C71">
        <w:t xml:space="preserve"> Terms</w:t>
      </w:r>
      <w:r w:rsidR="00E13CF2">
        <w:t>;</w:t>
      </w:r>
      <w:r w:rsidR="004205C8" w:rsidRPr="00DD0C71">
        <w:t xml:space="preserve"> </w:t>
      </w:r>
      <w:r w:rsidR="00420155" w:rsidRPr="00DD0C71">
        <w:t>and</w:t>
      </w:r>
      <w:r w:rsidR="003B0975">
        <w:t xml:space="preserve"> </w:t>
      </w:r>
      <w:r w:rsidR="005923BB">
        <w:t>(</w:t>
      </w:r>
      <w:r w:rsidR="00E13CF2">
        <w:t>ii</w:t>
      </w:r>
      <w:r w:rsidR="005923BB">
        <w:t>)</w:t>
      </w:r>
      <w:r w:rsidR="00420155" w:rsidRPr="00DD0C71">
        <w:t xml:space="preserve"> </w:t>
      </w:r>
      <w:r w:rsidR="00E15A87">
        <w:t>Equivalent Title Transfer Assets of a Value that is equal to the Title Transfer Balance Value</w:t>
      </w:r>
      <w:r w:rsidR="004205C8" w:rsidRPr="00DD0C71">
        <w:t>.</w:t>
      </w:r>
    </w:p>
    <w:p w14:paraId="011A951E" w14:textId="093A3EF7" w:rsidR="00377299" w:rsidRDefault="00377299" w:rsidP="00094771">
      <w:pPr>
        <w:pStyle w:val="Level2"/>
      </w:pPr>
      <w:r w:rsidRPr="00377299">
        <w:rPr>
          <w:b/>
          <w:bCs/>
          <w:i/>
          <w:iCs/>
        </w:rPr>
        <w:t>Good discharge</w:t>
      </w:r>
      <w:r w:rsidRPr="001A6624">
        <w:rPr>
          <w:b/>
          <w:bCs/>
          <w:i/>
          <w:iCs/>
        </w:rPr>
        <w:t>:</w:t>
      </w:r>
      <w:r>
        <w:t xml:space="preserve"> Any amounts that would have been paid by the Agreed CCP to the Firm but for the application of: </w:t>
      </w:r>
    </w:p>
    <w:p w14:paraId="73D74B5B" w14:textId="77777777" w:rsidR="00377299" w:rsidRDefault="00377299" w:rsidP="003633C4">
      <w:pPr>
        <w:pStyle w:val="Level3"/>
      </w:pPr>
      <w:r>
        <w:t xml:space="preserve">netting or set-off in accordance with Applicable Regulations; or </w:t>
      </w:r>
    </w:p>
    <w:p w14:paraId="2572C963" w14:textId="77777777" w:rsidR="00377299" w:rsidRDefault="00377299" w:rsidP="003633C4">
      <w:pPr>
        <w:pStyle w:val="Level3"/>
      </w:pPr>
      <w:r>
        <w:t>any provision of Applicable Regulations for porting or direct settlement following a Firm Trigger Event,</w:t>
      </w:r>
    </w:p>
    <w:p w14:paraId="3FA4AC90" w14:textId="420FCE4A" w:rsidR="00377299" w:rsidRDefault="00377299" w:rsidP="003633C4">
      <w:pPr>
        <w:pStyle w:val="Level2"/>
        <w:numPr>
          <w:ilvl w:val="0"/>
          <w:numId w:val="0"/>
        </w:numPr>
        <w:ind w:left="680"/>
      </w:pPr>
      <w:r>
        <w:t xml:space="preserve">will be considered to have been paid to the Client </w:t>
      </w:r>
      <w:r w:rsidR="00AA7962">
        <w:t>or, if such amounts would have been held by the Firm for the Client</w:t>
      </w:r>
      <w:r w:rsidR="00347C68">
        <w:t xml:space="preserve"> pursuant</w:t>
      </w:r>
      <w:r w:rsidR="00A21333">
        <w:t xml:space="preserve"> </w:t>
      </w:r>
      <w:r w:rsidR="00347C68">
        <w:t xml:space="preserve">to </w:t>
      </w:r>
      <w:r w:rsidR="002A36EE">
        <w:t xml:space="preserve">the </w:t>
      </w:r>
      <w:r w:rsidR="00577CAB">
        <w:t>Segregated Assets</w:t>
      </w:r>
      <w:r w:rsidR="00347C68">
        <w:t xml:space="preserve"> Arrangement</w:t>
      </w:r>
      <w:r w:rsidR="00AA7962">
        <w:t xml:space="preserve">, accounted for to the Client in accordance with the </w:t>
      </w:r>
      <w:r w:rsidR="00DD0A9C">
        <w:t>Segregated Asset</w:t>
      </w:r>
      <w:r w:rsidR="00094A99">
        <w:t xml:space="preserve"> Terms</w:t>
      </w:r>
      <w:r w:rsidR="00AA7962">
        <w:t xml:space="preserve"> </w:t>
      </w:r>
      <w:r>
        <w:t>and to have discharged the Firm</w:t>
      </w:r>
      <w:r w:rsidR="00073FFC">
        <w:t>’</w:t>
      </w:r>
      <w:r>
        <w:t xml:space="preserve">s obligations to the Client to the same extent. </w:t>
      </w:r>
    </w:p>
    <w:p w14:paraId="16E508C1" w14:textId="56762E43" w:rsidR="00A25FA6" w:rsidRPr="00094771" w:rsidRDefault="00A25FA6" w:rsidP="00094771">
      <w:pPr>
        <w:pStyle w:val="Level2"/>
      </w:pPr>
      <w:r>
        <w:rPr>
          <w:b/>
          <w:bCs/>
          <w:i/>
          <w:iCs/>
        </w:rPr>
        <w:t xml:space="preserve">Third parties: </w:t>
      </w:r>
      <w:r>
        <w:t>The Client agrees that performance and payment of obligations owed by the Firm under th</w:t>
      </w:r>
      <w:r w:rsidR="001F37B7">
        <w:t>e</w:t>
      </w:r>
      <w:r>
        <w:t xml:space="preserve"> Agreement are limited by, and contingent on, the actual performance or payment by any account bank, custodian or other third party holding cash, margin or other property for the Firm which relates to the Client and the Firm will only be obliged to perform its obligations to the Client </w:t>
      </w:r>
      <w:r w:rsidR="008407E0">
        <w:t>under th</w:t>
      </w:r>
      <w:r w:rsidR="001F37B7">
        <w:t>e</w:t>
      </w:r>
      <w:r w:rsidR="008407E0">
        <w:t xml:space="preserve"> Agreement to the extent that the relevant account bank, custodian or other third party holding cash</w:t>
      </w:r>
      <w:r w:rsidR="00720BCC">
        <w:t>, margin</w:t>
      </w:r>
      <w:r w:rsidR="008407E0">
        <w:t xml:space="preserve"> or </w:t>
      </w:r>
      <w:r w:rsidR="00720BCC">
        <w:t>other property</w:t>
      </w:r>
      <w:r w:rsidR="000D6D9E" w:rsidRPr="000D6D9E">
        <w:t xml:space="preserve"> </w:t>
      </w:r>
      <w:r w:rsidR="000D6D9E">
        <w:t>for the Firm</w:t>
      </w:r>
      <w:r w:rsidR="00720BCC">
        <w:t xml:space="preserve"> </w:t>
      </w:r>
      <w:r w:rsidR="008407E0">
        <w:t xml:space="preserve">performs its obligations. </w:t>
      </w:r>
    </w:p>
    <w:p w14:paraId="1343EC0F" w14:textId="470A7B52" w:rsidR="0042578A" w:rsidRPr="0042578A" w:rsidRDefault="00377299" w:rsidP="00094771">
      <w:pPr>
        <w:pStyle w:val="Level2"/>
      </w:pPr>
      <w:r w:rsidRPr="00377299">
        <w:rPr>
          <w:b/>
          <w:bCs/>
          <w:i/>
          <w:iCs/>
        </w:rPr>
        <w:t>Notification:</w:t>
      </w:r>
      <w:r>
        <w:t xml:space="preserve"> The Firm will give notice in writing to the Client of any deduction or withholding from any payment or performance</w:t>
      </w:r>
      <w:r w:rsidR="00AA7962">
        <w:t xml:space="preserve"> (including the deemed satisfaction of any obligations and/or duties of the Firm in respect of </w:t>
      </w:r>
      <w:r w:rsidR="0045006D">
        <w:t xml:space="preserve">the </w:t>
      </w:r>
      <w:r w:rsidR="000C1403">
        <w:t>Segregated Assets</w:t>
      </w:r>
      <w:r w:rsidR="00347C68">
        <w:t xml:space="preserve"> Arrangement</w:t>
      </w:r>
      <w:r w:rsidR="00AA7962">
        <w:t>)</w:t>
      </w:r>
      <w:r>
        <w:t xml:space="preserve"> effected under this clause</w:t>
      </w:r>
      <w:r w:rsidR="00C972A6">
        <w:t xml:space="preserve"> </w:t>
      </w:r>
      <w:r w:rsidR="00C972A6">
        <w:fldChar w:fldCharType="begin" w:fldLock="1"/>
      </w:r>
      <w:r w:rsidR="00C972A6">
        <w:instrText xml:space="preserve"> REF _Ref161350950 \r \h </w:instrText>
      </w:r>
      <w:r w:rsidR="00C972A6">
        <w:fldChar w:fldCharType="separate"/>
      </w:r>
      <w:r w:rsidR="009646BC">
        <w:t>19</w:t>
      </w:r>
      <w:r w:rsidR="00C972A6">
        <w:fldChar w:fldCharType="end"/>
      </w:r>
      <w:r>
        <w:t xml:space="preserve"> as soon as reasonably practicable following the relevant event.</w:t>
      </w:r>
    </w:p>
    <w:p w14:paraId="05E4B2A4" w14:textId="3276D2AF" w:rsidR="00377299" w:rsidRDefault="00377299" w:rsidP="00670C62">
      <w:pPr>
        <w:pStyle w:val="Level1"/>
        <w:keepNext w:val="0"/>
      </w:pPr>
      <w:bookmarkStart w:id="117" w:name="_Ref152006724"/>
      <w:r>
        <w:t>ADDITIONAL RIGHTS</w:t>
      </w:r>
      <w:bookmarkEnd w:id="117"/>
    </w:p>
    <w:p w14:paraId="137D4DC2" w14:textId="5953BED0" w:rsidR="00377299" w:rsidRDefault="00377299" w:rsidP="00670C62">
      <w:pPr>
        <w:pStyle w:val="Level2"/>
        <w:tabs>
          <w:tab w:val="num" w:pos="2041"/>
        </w:tabs>
      </w:pPr>
      <w:bookmarkStart w:id="118" w:name="_Ref151486574"/>
      <w:bookmarkStart w:id="119" w:name="_Ref133442876"/>
      <w:r w:rsidRPr="00F24FA1">
        <w:rPr>
          <w:b/>
          <w:bCs/>
          <w:i/>
          <w:iCs/>
        </w:rPr>
        <w:t>Set-off</w:t>
      </w:r>
      <w:bookmarkEnd w:id="118"/>
      <w:r w:rsidR="00F24FA1" w:rsidRPr="00F24FA1">
        <w:rPr>
          <w:b/>
          <w:bCs/>
          <w:i/>
          <w:iCs/>
        </w:rPr>
        <w:t xml:space="preserve">: </w:t>
      </w:r>
      <w:bookmarkStart w:id="120" w:name="_Ref152006649"/>
      <w:r w:rsidR="00AA7962">
        <w:t>Subject to clause</w:t>
      </w:r>
      <w:r w:rsidR="00F24FA1">
        <w:t xml:space="preserve"> </w:t>
      </w:r>
      <w:r w:rsidR="00F24FA1">
        <w:fldChar w:fldCharType="begin" w:fldLock="1"/>
      </w:r>
      <w:r w:rsidR="00F24FA1">
        <w:instrText xml:space="preserve"> REF _Ref152006615 \r \h </w:instrText>
      </w:r>
      <w:r w:rsidR="00F24FA1">
        <w:fldChar w:fldCharType="separate"/>
      </w:r>
      <w:r w:rsidR="009646BC">
        <w:t>20.3</w:t>
      </w:r>
      <w:r w:rsidR="00F24FA1">
        <w:fldChar w:fldCharType="end"/>
      </w:r>
      <w:r w:rsidR="00F24FA1">
        <w:t xml:space="preserve"> (</w:t>
      </w:r>
      <w:r w:rsidR="00F24FA1" w:rsidRPr="004C0F61">
        <w:rPr>
          <w:i/>
          <w:iCs/>
        </w:rPr>
        <w:t xml:space="preserve">Restriction on </w:t>
      </w:r>
      <w:r w:rsidR="00B476E0">
        <w:rPr>
          <w:i/>
          <w:iCs/>
        </w:rPr>
        <w:t>s</w:t>
      </w:r>
      <w:r w:rsidR="00F24FA1" w:rsidRPr="004C0F61">
        <w:rPr>
          <w:i/>
          <w:iCs/>
        </w:rPr>
        <w:t xml:space="preserve">et-off against </w:t>
      </w:r>
      <w:r w:rsidR="00FA33F9">
        <w:rPr>
          <w:i/>
          <w:iCs/>
        </w:rPr>
        <w:t>Segregated</w:t>
      </w:r>
      <w:r w:rsidR="00F24FA1" w:rsidRPr="004C0F61">
        <w:rPr>
          <w:i/>
          <w:iCs/>
        </w:rPr>
        <w:t xml:space="preserve"> Assets</w:t>
      </w:r>
      <w:r w:rsidR="00F24FA1">
        <w:t>)</w:t>
      </w:r>
      <w:r w:rsidR="00AA7962">
        <w:t>, w</w:t>
      </w:r>
      <w:r w:rsidRPr="00F10522">
        <w:t xml:space="preserve">ithout prejudice to any other rights to which the Firm may be entitled, the Firm may at any time and without notice set off any amount (whether actual or contingent, present or future) owed by the Client to the Firm against any amount (whether actual or contingent, present or future) owed by the Firm to the Client. For these purposes, the Firm may ascribe a commercially reasonable value to any amount which is contingent or which is unascertained for any other reason and the Firm may convert any amounts denominated in different currencies into the Base Currency in accordance with clause </w:t>
      </w:r>
      <w:r w:rsidR="00173C9C" w:rsidRPr="00F10522">
        <w:fldChar w:fldCharType="begin" w:fldLock="1"/>
      </w:r>
      <w:r w:rsidR="00173C9C" w:rsidRPr="00F10522">
        <w:instrText xml:space="preserve"> REF _Ref133419425 \n \h  \* MERGEFORMAT </w:instrText>
      </w:r>
      <w:r w:rsidR="00173C9C" w:rsidRPr="00F10522">
        <w:fldChar w:fldCharType="separate"/>
      </w:r>
      <w:r w:rsidR="009646BC">
        <w:t>30.1</w:t>
      </w:r>
      <w:r w:rsidR="00173C9C" w:rsidRPr="00F10522">
        <w:fldChar w:fldCharType="end"/>
      </w:r>
      <w:r w:rsidRPr="00F10522">
        <w:t xml:space="preserve"> (</w:t>
      </w:r>
      <w:r w:rsidRPr="00F24FA1">
        <w:rPr>
          <w:i/>
          <w:iCs/>
        </w:rPr>
        <w:t>Base Currency</w:t>
      </w:r>
      <w:r w:rsidRPr="00F10522">
        <w:t>).</w:t>
      </w:r>
      <w:bookmarkEnd w:id="119"/>
      <w:bookmarkEnd w:id="120"/>
    </w:p>
    <w:p w14:paraId="68A9BE7C" w14:textId="5DD46C0F" w:rsidR="00F24FA1" w:rsidRPr="000E73CE" w:rsidRDefault="00F24FA1" w:rsidP="00670C62">
      <w:pPr>
        <w:pStyle w:val="Level2"/>
        <w:tabs>
          <w:tab w:val="num" w:pos="2041"/>
        </w:tabs>
      </w:pPr>
      <w:bookmarkStart w:id="121" w:name="_Ref172731263"/>
      <w:bookmarkStart w:id="122" w:name="_Ref134570406"/>
      <w:r>
        <w:rPr>
          <w:b/>
          <w:bCs/>
          <w:i/>
          <w:iCs/>
        </w:rPr>
        <w:lastRenderedPageBreak/>
        <w:t>Running account:</w:t>
      </w:r>
      <w:r w:rsidR="000E73CE" w:rsidRPr="004C0F61">
        <w:t xml:space="preserve"> Without</w:t>
      </w:r>
      <w:r w:rsidR="000E73CE">
        <w:t xml:space="preserve"> </w:t>
      </w:r>
      <w:r w:rsidR="000E73CE" w:rsidRPr="000E73CE">
        <w:t xml:space="preserve">prejudice to the generality of </w:t>
      </w:r>
      <w:r w:rsidR="000E73CE">
        <w:t>c</w:t>
      </w:r>
      <w:r w:rsidR="000E73CE" w:rsidRPr="000E73CE">
        <w:t>lause</w:t>
      </w:r>
      <w:r w:rsidR="000E73CE">
        <w:t xml:space="preserve"> </w:t>
      </w:r>
      <w:r w:rsidR="00E13CF2">
        <w:fldChar w:fldCharType="begin" w:fldLock="1"/>
      </w:r>
      <w:r w:rsidR="00E13CF2">
        <w:instrText xml:space="preserve"> REF _Ref133442876 \w \h </w:instrText>
      </w:r>
      <w:r w:rsidR="00E13CF2">
        <w:fldChar w:fldCharType="separate"/>
      </w:r>
      <w:r w:rsidR="009646BC">
        <w:t>20.1</w:t>
      </w:r>
      <w:r w:rsidR="00E13CF2">
        <w:fldChar w:fldCharType="end"/>
      </w:r>
      <w:r w:rsidR="000E73CE">
        <w:t xml:space="preserve"> (</w:t>
      </w:r>
      <w:r w:rsidR="000E73CE">
        <w:rPr>
          <w:i/>
          <w:iCs/>
        </w:rPr>
        <w:t>Set-off</w:t>
      </w:r>
      <w:r w:rsidR="000E73CE">
        <w:t>)</w:t>
      </w:r>
      <w:r w:rsidR="000E73CE" w:rsidRPr="000E73CE">
        <w:t>,</w:t>
      </w:r>
      <w:r w:rsidR="0090504F">
        <w:t xml:space="preserve"> any amount owed to the Firm by the Client can be charged to the Account and</w:t>
      </w:r>
      <w:r w:rsidR="000E73CE" w:rsidRPr="000E73CE">
        <w:t xml:space="preserve"> the Firm may from time to time apply any part of the Title Transfer Balance towards satisfaction of any liabilities </w:t>
      </w:r>
      <w:r w:rsidR="00BA1B56">
        <w:t>shown on the Account as due</w:t>
      </w:r>
      <w:r w:rsidR="00566064" w:rsidRPr="00566064">
        <w:t xml:space="preserve"> </w:t>
      </w:r>
      <w:r w:rsidR="00566064" w:rsidRPr="000E73CE">
        <w:t>from the Client to the Firm</w:t>
      </w:r>
      <w:r w:rsidR="00BA1B56">
        <w:t xml:space="preserve"> or otherwise </w:t>
      </w:r>
      <w:r w:rsidR="000E73CE" w:rsidRPr="000E73CE">
        <w:t xml:space="preserve">due from the Client to the Firm in accordance with this </w:t>
      </w:r>
      <w:r w:rsidR="005E39C0">
        <w:t xml:space="preserve">Client Clearing </w:t>
      </w:r>
      <w:r w:rsidR="000E73CE" w:rsidRPr="000E73CE">
        <w:t>Agreement, so as to reduce the Title Transfer Balance from time to time</w:t>
      </w:r>
      <w:r w:rsidR="003433A8">
        <w:t>.</w:t>
      </w:r>
      <w:r w:rsidR="00E649D8">
        <w:t xml:space="preserve"> To </w:t>
      </w:r>
      <w:r w:rsidR="00894B87">
        <w:t>satisfy</w:t>
      </w:r>
      <w:r w:rsidR="00F00997">
        <w:t xml:space="preserve"> such liabilities, the Firm may</w:t>
      </w:r>
      <w:r w:rsidR="00CF6983">
        <w:t>,</w:t>
      </w:r>
      <w:r w:rsidR="008F25FF">
        <w:t xml:space="preserve"> to the extent it determines is necessary or desirable</w:t>
      </w:r>
      <w:r w:rsidR="00CF6983">
        <w:t>,</w:t>
      </w:r>
      <w:r w:rsidR="00F00997">
        <w:t xml:space="preserve"> convert Title Transfer Assets</w:t>
      </w:r>
      <w:r w:rsidR="007E083A">
        <w:t xml:space="preserve"> (by reference to their Value)</w:t>
      </w:r>
      <w:r w:rsidR="004013E5">
        <w:t xml:space="preserve"> </w:t>
      </w:r>
      <w:r w:rsidR="00CC62D1">
        <w:t xml:space="preserve">into cash in the currency in which </w:t>
      </w:r>
      <w:r w:rsidR="006F7DCF">
        <w:t>any such</w:t>
      </w:r>
      <w:r w:rsidR="00CC62D1">
        <w:t xml:space="preserve"> liability is due.</w:t>
      </w:r>
      <w:bookmarkEnd w:id="121"/>
    </w:p>
    <w:p w14:paraId="4C5C91F5" w14:textId="20D50936" w:rsidR="004A6607" w:rsidRDefault="00F24FA1" w:rsidP="00670C62">
      <w:pPr>
        <w:pStyle w:val="Level2"/>
        <w:tabs>
          <w:tab w:val="num" w:pos="2041"/>
        </w:tabs>
      </w:pPr>
      <w:bookmarkStart w:id="123" w:name="_Ref152006615"/>
      <w:r>
        <w:rPr>
          <w:b/>
          <w:bCs/>
          <w:i/>
          <w:iCs/>
        </w:rPr>
        <w:t xml:space="preserve">Restriction on </w:t>
      </w:r>
      <w:r w:rsidR="00B476E0">
        <w:rPr>
          <w:b/>
          <w:bCs/>
          <w:i/>
          <w:iCs/>
        </w:rPr>
        <w:t>s</w:t>
      </w:r>
      <w:r>
        <w:rPr>
          <w:b/>
          <w:bCs/>
          <w:i/>
          <w:iCs/>
        </w:rPr>
        <w:t xml:space="preserve">et-off against </w:t>
      </w:r>
      <w:r w:rsidR="00FA33F9">
        <w:rPr>
          <w:b/>
          <w:bCs/>
          <w:i/>
          <w:iCs/>
        </w:rPr>
        <w:t>Segregated</w:t>
      </w:r>
      <w:r>
        <w:rPr>
          <w:b/>
          <w:bCs/>
          <w:i/>
          <w:iCs/>
        </w:rPr>
        <w:t xml:space="preserve"> Assets: </w:t>
      </w:r>
      <w:r w:rsidR="00AA7962">
        <w:t>Notwithstanding any contrary provision of th</w:t>
      </w:r>
      <w:r w:rsidR="00A4361F">
        <w:t>e</w:t>
      </w:r>
      <w:r w:rsidR="00AA7962">
        <w:t xml:space="preserve"> Agreement, </w:t>
      </w:r>
      <w:r w:rsidR="00384128">
        <w:t xml:space="preserve">if any amount, obligation or liability (whether actual or contingent, present or future) is owed to the Firm either by the Client or by another </w:t>
      </w:r>
      <w:r w:rsidR="00272180">
        <w:t>EATM</w:t>
      </w:r>
      <w:r w:rsidR="00384128">
        <w:t xml:space="preserve"> Client (including, in each case, any obligation arising in respect of a Principal Model Transaction), the Firm shall not:</w:t>
      </w:r>
      <w:bookmarkEnd w:id="123"/>
    </w:p>
    <w:p w14:paraId="109368D3" w14:textId="550616EC" w:rsidR="00F13F2D" w:rsidRDefault="00F13F2D" w:rsidP="00670C62">
      <w:pPr>
        <w:pStyle w:val="Level3"/>
      </w:pPr>
      <w:r>
        <w:t xml:space="preserve">set off that amount, obligation or liability against any obligation or duty owed by the Firm to the Client that arises under the </w:t>
      </w:r>
      <w:r w:rsidR="000C1403">
        <w:t>Segregated Assets</w:t>
      </w:r>
      <w:r>
        <w:t xml:space="preserve"> Arrangement; </w:t>
      </w:r>
    </w:p>
    <w:p w14:paraId="02292320" w14:textId="65AA51BF" w:rsidR="00F13F2D" w:rsidRDefault="00F13F2D" w:rsidP="004C0F61">
      <w:pPr>
        <w:pStyle w:val="Level3"/>
      </w:pPr>
      <w:r>
        <w:t xml:space="preserve">retain that amount, obligation or liability from the </w:t>
      </w:r>
      <w:r w:rsidR="00FA33F9">
        <w:t>Segregated</w:t>
      </w:r>
      <w:r>
        <w:t xml:space="preserve"> Assets to which the Client is beneficially entitled; or </w:t>
      </w:r>
    </w:p>
    <w:p w14:paraId="5AA41DDF" w14:textId="77150112" w:rsidR="00384128" w:rsidRDefault="00F13F2D" w:rsidP="00BB2BFD">
      <w:pPr>
        <w:pStyle w:val="Level3"/>
      </w:pPr>
      <w:r>
        <w:t>enforce the indemnity set out in paragraph</w:t>
      </w:r>
      <w:r w:rsidR="001F1056">
        <w:t xml:space="preserve"> </w:t>
      </w:r>
      <w:r w:rsidR="001F1056">
        <w:fldChar w:fldCharType="begin" w:fldLock="1"/>
      </w:r>
      <w:r w:rsidR="001F1056">
        <w:instrText xml:space="preserve"> REF _Ref161350975 \r \h </w:instrText>
      </w:r>
      <w:r w:rsidR="001F1056">
        <w:fldChar w:fldCharType="separate"/>
      </w:r>
      <w:r w:rsidR="009646BC">
        <w:t>5.1</w:t>
      </w:r>
      <w:r w:rsidR="001F1056">
        <w:fldChar w:fldCharType="end"/>
      </w:r>
      <w:r>
        <w:t xml:space="preserve"> (</w:t>
      </w:r>
      <w:r w:rsidRPr="00C17850">
        <w:rPr>
          <w:i/>
          <w:iCs/>
        </w:rPr>
        <w:t>Indemnity</w:t>
      </w:r>
      <w:r>
        <w:t xml:space="preserve">) of </w:t>
      </w:r>
      <w:r w:rsidR="00915176">
        <w:t>the Segregated Asset Terms</w:t>
      </w:r>
      <w:r>
        <w:t xml:space="preserve"> against the Client in respect of that amount, obligation or liability,</w:t>
      </w:r>
    </w:p>
    <w:p w14:paraId="70FB3889" w14:textId="250DAB73" w:rsidR="00AA7962" w:rsidRDefault="002118F3" w:rsidP="004C0F61">
      <w:pPr>
        <w:pStyle w:val="Body2"/>
      </w:pPr>
      <w:r>
        <w:t xml:space="preserve">unless that amount, obligation or liability is a </w:t>
      </w:r>
      <w:r w:rsidR="000C1403">
        <w:t>Segregated Assets</w:t>
      </w:r>
      <w:r>
        <w:t xml:space="preserve"> Arrangement Liability attributable to the Client and/or the Transactions.</w:t>
      </w:r>
      <w:bookmarkEnd w:id="122"/>
      <w:r w:rsidR="00605B0A">
        <w:t xml:space="preserve"> </w:t>
      </w:r>
    </w:p>
    <w:p w14:paraId="6B6838A4" w14:textId="20ACB6D5" w:rsidR="00835570" w:rsidRDefault="009528B0" w:rsidP="00835570">
      <w:pPr>
        <w:pStyle w:val="Level2"/>
      </w:pPr>
      <w:r>
        <w:rPr>
          <w:b/>
          <w:bCs/>
          <w:i/>
          <w:iCs/>
        </w:rPr>
        <w:t xml:space="preserve">Additional </w:t>
      </w:r>
      <w:r w:rsidR="00835570" w:rsidRPr="00C94784">
        <w:rPr>
          <w:b/>
          <w:bCs/>
          <w:i/>
          <w:iCs/>
        </w:rPr>
        <w:t xml:space="preserve">Firm </w:t>
      </w:r>
      <w:r>
        <w:rPr>
          <w:b/>
          <w:bCs/>
          <w:i/>
          <w:iCs/>
        </w:rPr>
        <w:t>p</w:t>
      </w:r>
      <w:r w:rsidR="00835570" w:rsidRPr="00C94784">
        <w:rPr>
          <w:b/>
          <w:bCs/>
          <w:i/>
          <w:iCs/>
        </w:rPr>
        <w:t>rotections</w:t>
      </w:r>
      <w:r w:rsidR="00835570">
        <w:t xml:space="preserve">: </w:t>
      </w:r>
      <w:r w:rsidR="00835570" w:rsidRPr="00C5576C">
        <w:t>In addition to the rights, powers, authorities and discretions set out in th</w:t>
      </w:r>
      <w:r w:rsidR="00835570">
        <w:t>e Segregated Asset Terms</w:t>
      </w:r>
      <w:r w:rsidR="00835570" w:rsidRPr="00C5576C">
        <w:t xml:space="preserve"> and notwithstanding anything to the contrary expressed or implied herein,</w:t>
      </w:r>
      <w:r w:rsidR="00835570">
        <w:t xml:space="preserve"> the Firm:</w:t>
      </w:r>
    </w:p>
    <w:p w14:paraId="7C0A4E33" w14:textId="5FFC83EA" w:rsidR="00835570" w:rsidRDefault="00835570" w:rsidP="00781941">
      <w:pPr>
        <w:pStyle w:val="Level3"/>
      </w:pPr>
      <w:r w:rsidRPr="00C5576C">
        <w:t xml:space="preserve">shall not be </w:t>
      </w:r>
      <w:r w:rsidRPr="00AA48D4">
        <w:t xml:space="preserve">required </w:t>
      </w:r>
      <w:r w:rsidRPr="00C5576C">
        <w:t>to</w:t>
      </w:r>
      <w:r w:rsidR="0028714B">
        <w:t xml:space="preserve"> </w:t>
      </w:r>
      <w:r w:rsidRPr="00C5576C">
        <w:t xml:space="preserve">comply with any direction of </w:t>
      </w:r>
      <w:r w:rsidR="00D05643">
        <w:t>the</w:t>
      </w:r>
      <w:r w:rsidRPr="00C5576C">
        <w:t xml:space="preserve"> Client</w:t>
      </w:r>
      <w:r w:rsidR="00D05643">
        <w:t>,</w:t>
      </w:r>
      <w:r w:rsidR="0028714B">
        <w:t xml:space="preserve"> </w:t>
      </w:r>
      <w:r>
        <w:t>expend or risk its own funds</w:t>
      </w:r>
      <w:r w:rsidRPr="00C5576C">
        <w:t xml:space="preserve"> </w:t>
      </w:r>
      <w:r w:rsidRPr="00AA48D4">
        <w:t xml:space="preserve">in the performance of </w:t>
      </w:r>
      <w:r w:rsidR="00B074EB">
        <w:t>the Segregated Asset Terms</w:t>
      </w:r>
      <w:r w:rsidR="00D05643">
        <w:t>, or</w:t>
      </w:r>
      <w:r w:rsidRPr="00C5576C">
        <w:t xml:space="preserve"> take any other action</w:t>
      </w:r>
      <w:r>
        <w:t xml:space="preserve"> (including any action that would result in the Firm incurring any financial liability)</w:t>
      </w:r>
      <w:r w:rsidR="00B074EB">
        <w:t xml:space="preserve"> or otherwise incur </w:t>
      </w:r>
      <w:r w:rsidR="005F503A">
        <w:t>any liability</w:t>
      </w:r>
      <w:r w:rsidR="00781941">
        <w:t>,</w:t>
      </w:r>
      <w:r w:rsidR="005F503A">
        <w:t xml:space="preserve"> in respect of the Segregated Assets (other than routine expenditure incurred in performing the Services under th</w:t>
      </w:r>
      <w:r w:rsidR="00D16488">
        <w:t>e</w:t>
      </w:r>
      <w:r w:rsidR="005F503A">
        <w:t xml:space="preserve"> Agreement)</w:t>
      </w:r>
      <w:r w:rsidR="00784C1F">
        <w:t>,</w:t>
      </w:r>
      <w:r w:rsidRPr="00C5576C">
        <w:t xml:space="preserve"> unless the Firm has been indemnified and/or secured and/or pre-funded to its satisfaction</w:t>
      </w:r>
      <w:r>
        <w:t>; and</w:t>
      </w:r>
    </w:p>
    <w:p w14:paraId="1D939931" w14:textId="268CA9FC" w:rsidR="00835570" w:rsidRPr="00F10522" w:rsidRDefault="00835570" w:rsidP="002E4386">
      <w:pPr>
        <w:pStyle w:val="Level3"/>
      </w:pPr>
      <w:r w:rsidRPr="00AA48D4">
        <w:t xml:space="preserve">is entitled to exclusively rely on the information and directions provided or reasonably believed to have been provided by </w:t>
      </w:r>
      <w:r w:rsidR="00674804">
        <w:t>the</w:t>
      </w:r>
      <w:r w:rsidRPr="00AA48D4">
        <w:t xml:space="preserve"> </w:t>
      </w:r>
      <w:r>
        <w:t>Client</w:t>
      </w:r>
      <w:r w:rsidRPr="00AA48D4">
        <w:t xml:space="preserve"> without further enquiry as to the genuineness, authority or identity of the person giving or purporting to give such information or directions</w:t>
      </w:r>
      <w:r>
        <w:t>.</w:t>
      </w:r>
    </w:p>
    <w:p w14:paraId="745F0C9F" w14:textId="06B3B183" w:rsidR="00B54A00" w:rsidRDefault="00B54A00" w:rsidP="00623726">
      <w:pPr>
        <w:pStyle w:val="Level1"/>
      </w:pPr>
      <w:bookmarkStart w:id="124" w:name="_Ref133402777"/>
      <w:r>
        <w:t>EXCLUSIONS, LIMITATIONS AND INDEMNITY</w:t>
      </w:r>
      <w:bookmarkEnd w:id="124"/>
      <w:r>
        <w:t xml:space="preserve"> </w:t>
      </w:r>
    </w:p>
    <w:p w14:paraId="7D7416C9" w14:textId="5077DA0F" w:rsidR="00B54A00" w:rsidRDefault="00B54A00" w:rsidP="00094771">
      <w:pPr>
        <w:pStyle w:val="Level2"/>
      </w:pPr>
      <w:r w:rsidRPr="00B54A00">
        <w:rPr>
          <w:b/>
          <w:bCs/>
          <w:i/>
          <w:iCs/>
        </w:rPr>
        <w:t>General exclusion</w:t>
      </w:r>
      <w:r w:rsidRPr="004C0F61">
        <w:rPr>
          <w:b/>
          <w:bCs/>
          <w:i/>
          <w:iCs/>
        </w:rPr>
        <w:t>:</w:t>
      </w:r>
      <w:r>
        <w:t xml:space="preserve"> The Fir</w:t>
      </w:r>
      <w:r w:rsidR="005E0862">
        <w:t xml:space="preserve">m </w:t>
      </w:r>
      <w:r>
        <w:t>and its Associates, and their directors, officers, employees or agents, will not be liable for any Losses incurred or suffered by the Client under or in connection with th</w:t>
      </w:r>
      <w:r w:rsidR="00021D79">
        <w:t>e</w:t>
      </w:r>
      <w:r>
        <w:t xml:space="preserve"> Agreement (including by reason of the Services</w:t>
      </w:r>
      <w:r w:rsidR="00793ECA">
        <w:t>, the performance of its obligations under th</w:t>
      </w:r>
      <w:r w:rsidR="00021D79">
        <w:t>e</w:t>
      </w:r>
      <w:r w:rsidR="00793ECA">
        <w:t xml:space="preserve"> Agreement in respect of a Transaction</w:t>
      </w:r>
      <w:r w:rsidR="00E1178F">
        <w:t xml:space="preserve">, </w:t>
      </w:r>
      <w:r>
        <w:t>where the Firm has declined to enter into a proposed Transaction or perform the Services</w:t>
      </w:r>
      <w:r w:rsidR="00E1178F">
        <w:t xml:space="preserve"> or where the Firm, in its capacity as trustee </w:t>
      </w:r>
      <w:r w:rsidR="00605B0A">
        <w:t xml:space="preserve">under </w:t>
      </w:r>
      <w:r w:rsidR="00482603">
        <w:t xml:space="preserve">the </w:t>
      </w:r>
      <w:r w:rsidR="000C1403">
        <w:t>Segregated Assets</w:t>
      </w:r>
      <w:r w:rsidR="00605B0A">
        <w:t xml:space="preserve"> A</w:t>
      </w:r>
      <w:r w:rsidR="00A21333">
        <w:t>rrangement</w:t>
      </w:r>
      <w:r w:rsidR="00605B0A">
        <w:t xml:space="preserve"> </w:t>
      </w:r>
      <w:r w:rsidR="00E1178F">
        <w:t xml:space="preserve">has taken, or declined to take, any action under that </w:t>
      </w:r>
      <w:r w:rsidR="000C1403">
        <w:t>Segregated Assets</w:t>
      </w:r>
      <w:r w:rsidR="00605B0A">
        <w:t xml:space="preserve"> A</w:t>
      </w:r>
      <w:r w:rsidR="00A21333">
        <w:t>rrangemen</w:t>
      </w:r>
      <w:r w:rsidR="00605B0A">
        <w:t>t</w:t>
      </w:r>
      <w:r w:rsidR="00E1178F">
        <w:t xml:space="preserve"> if so permitted by th</w:t>
      </w:r>
      <w:r w:rsidR="00B71567">
        <w:t>e</w:t>
      </w:r>
      <w:r w:rsidR="00E1178F">
        <w:t xml:space="preserve"> Agreement or </w:t>
      </w:r>
      <w:r w:rsidR="00E1178F">
        <w:lastRenderedPageBreak/>
        <w:t>necessary or desirable to address or prevent an additional risk to the Firm</w:t>
      </w:r>
      <w:r>
        <w:t>), unless the Loss is a reasonably foreseeable consequence of, and arises directly from, the Firm</w:t>
      </w:r>
      <w:r w:rsidR="00073FFC">
        <w:t>’</w:t>
      </w:r>
      <w:r>
        <w:t>s or its Affiliates</w:t>
      </w:r>
      <w:r w:rsidR="00073FFC">
        <w:t>’</w:t>
      </w:r>
      <w:r>
        <w:t xml:space="preserve"> gross negligence, wilful default or fraud, or, in the case of the Firm, any gross negligence in the appointment of Associates by the Firm. In no circumstance will the Firm, its Associates or their directors, officers, employees or agents have liability for Losses suffered by the Client or any third party for any special or consequential damage, loss of profits, loss of goodwill or loss of business opportunity arising under or in connection with th</w:t>
      </w:r>
      <w:r w:rsidR="00B71567">
        <w:t>e</w:t>
      </w:r>
      <w:r>
        <w:t xml:space="preserve"> Agreement, whether arising out of negligence, breach of contract, misrepresentation or otherwise. Nothing in th</w:t>
      </w:r>
      <w:r w:rsidR="00B71567">
        <w:t>e</w:t>
      </w:r>
      <w:r>
        <w:t xml:space="preserve"> Agreement will limit</w:t>
      </w:r>
      <w:r w:rsidR="00126157">
        <w:t xml:space="preserve"> or exclude the Firm’s liability for any</w:t>
      </w:r>
      <w:r>
        <w:t xml:space="preserve"> liability </w:t>
      </w:r>
      <w:r w:rsidR="00126157">
        <w:t xml:space="preserve">that cannot legally be limited or excluded in accordance with applicable law, including liability </w:t>
      </w:r>
      <w:r>
        <w:t>for fraud, or negligence which causes death or personal injury.</w:t>
      </w:r>
    </w:p>
    <w:p w14:paraId="05B616FD" w14:textId="670E0B30" w:rsidR="002E1741" w:rsidRDefault="00B54A00" w:rsidP="00094771">
      <w:pPr>
        <w:pStyle w:val="Level2"/>
      </w:pPr>
      <w:r w:rsidRPr="002E1741">
        <w:rPr>
          <w:b/>
          <w:bCs/>
          <w:i/>
          <w:iCs/>
        </w:rPr>
        <w:t>Adverse implications of Transactions:</w:t>
      </w:r>
      <w:r>
        <w:t xml:space="preserve"> Neither the Firm nor its Associates accept liability for any adverse tax, accounting or other implications of the Firm</w:t>
      </w:r>
      <w:r w:rsidR="00073FFC">
        <w:t>’</w:t>
      </w:r>
      <w:r>
        <w:t>s or the Associates</w:t>
      </w:r>
      <w:r w:rsidR="00073FFC">
        <w:t>’</w:t>
      </w:r>
      <w:r>
        <w:t xml:space="preserve"> performance of the Services or any Transaction whatsoever.</w:t>
      </w:r>
    </w:p>
    <w:p w14:paraId="29BAEE5F" w14:textId="1F9E9F24" w:rsidR="002E1741" w:rsidRDefault="00B54A00" w:rsidP="00094771">
      <w:pPr>
        <w:pStyle w:val="Level2"/>
      </w:pPr>
      <w:r w:rsidRPr="002E1741">
        <w:rPr>
          <w:b/>
          <w:bCs/>
          <w:i/>
          <w:iCs/>
        </w:rPr>
        <w:t>Force Majeure:</w:t>
      </w:r>
      <w:r>
        <w:t xml:space="preserve"> The Firm and its Associates will not be liable to the Client for any partial performance or non-performance of the Firm</w:t>
      </w:r>
      <w:r w:rsidR="00073FFC">
        <w:t>’</w:t>
      </w:r>
      <w:r>
        <w:t>s or its Associates</w:t>
      </w:r>
      <w:r w:rsidR="00073FFC">
        <w:t>’</w:t>
      </w:r>
      <w:r>
        <w:t xml:space="preserve"> obligations under th</w:t>
      </w:r>
      <w:r w:rsidR="00026CC8">
        <w:t>e</w:t>
      </w:r>
      <w:r>
        <w:t xml:space="preserve"> Agreement by reason of any cause beyond the Firm</w:t>
      </w:r>
      <w:r w:rsidR="00073FFC">
        <w:t>’</w:t>
      </w:r>
      <w:r>
        <w:t>s or its Associates</w:t>
      </w:r>
      <w:r w:rsidR="00073FFC">
        <w:t>’</w:t>
      </w:r>
      <w:r>
        <w:t xml:space="preserve"> reasonable control, including any breakdown, delay, malfunction or failure of transmission, communication or computer facilities, industrial action, act of terrorism, war, act of God, acts and regulations of any governmental, quasi-governmental or supranational bodies or authorities or failure by </w:t>
      </w:r>
      <w:r w:rsidR="00B3443C">
        <w:t>any</w:t>
      </w:r>
      <w:r>
        <w:t xml:space="preserve"> intermediary, account bank, custodian, sub-custodian, Infrastructure or any agent of the above, for any reason, to perform its obligations.</w:t>
      </w:r>
    </w:p>
    <w:p w14:paraId="1EF20FBF" w14:textId="41F59A7F" w:rsidR="00C822F7" w:rsidRPr="00BE157C" w:rsidRDefault="00CD3E5E" w:rsidP="00094771">
      <w:pPr>
        <w:pStyle w:val="Level2"/>
      </w:pPr>
      <w:r w:rsidRPr="00B2771A">
        <w:t>[</w:t>
      </w:r>
      <w:r w:rsidR="00C12E3F">
        <w:rPr>
          <w:b/>
          <w:bCs/>
          <w:i/>
          <w:iCs/>
        </w:rPr>
        <w:t xml:space="preserve">Validity and effectiveness: </w:t>
      </w:r>
      <w:r w:rsidR="00C12E3F">
        <w:t xml:space="preserve">The Firm shall not be responsible for the legality, validity, effectiveness, suitability, adequacy or enforceability </w:t>
      </w:r>
      <w:r w:rsidR="00C203D1">
        <w:t>of th</w:t>
      </w:r>
      <w:r w:rsidR="00026CC8">
        <w:t>e</w:t>
      </w:r>
      <w:r w:rsidR="00C203D1">
        <w:t xml:space="preserve"> Agreement (including the Segregated Assets Arrangement) </w:t>
      </w:r>
      <w:r w:rsidR="00050B23">
        <w:t>or other documents entered into (or created) in connection therewith, nor shall it be responsible or liable to any person because of any invalidity of any provision of such documents or the unenforceability thereof, whether arising from statute, law or decision of any court.</w:t>
      </w:r>
      <w:r>
        <w:t>]</w:t>
      </w:r>
    </w:p>
    <w:p w14:paraId="4751E3C4" w14:textId="234BFC00" w:rsidR="002E1741" w:rsidRDefault="00B54A00" w:rsidP="00094771">
      <w:pPr>
        <w:pStyle w:val="Level2"/>
      </w:pPr>
      <w:r w:rsidRPr="002E1741">
        <w:rPr>
          <w:b/>
          <w:bCs/>
          <w:i/>
          <w:iCs/>
        </w:rPr>
        <w:t>Effect of Applicable Regulations:</w:t>
      </w:r>
      <w:r>
        <w:t xml:space="preserve"> Nothing in th</w:t>
      </w:r>
      <w:r w:rsidR="00026CC8">
        <w:t>e</w:t>
      </w:r>
      <w:r>
        <w:t xml:space="preserve"> Agreement will exclude or restrict any duty or liability the Firm may have to the Client under Applicable Regulations which may not be excluded or restricted. </w:t>
      </w:r>
    </w:p>
    <w:p w14:paraId="50AF3E42" w14:textId="77777777" w:rsidR="002E1741" w:rsidRDefault="00B54A00" w:rsidP="00094771">
      <w:pPr>
        <w:pStyle w:val="Level2"/>
      </w:pPr>
      <w:bookmarkStart w:id="125" w:name="_Ref133421904"/>
      <w:r w:rsidRPr="002E1741">
        <w:rPr>
          <w:b/>
          <w:bCs/>
          <w:i/>
          <w:iCs/>
        </w:rPr>
        <w:t>Indemnity:</w:t>
      </w:r>
      <w:r>
        <w:t xml:space="preserve"> The Client will indemnify the Firm and its Associates on demand against any Losses which the Firm or its Associates may incur or be subjected to from time to time:</w:t>
      </w:r>
      <w:bookmarkEnd w:id="125"/>
      <w:r>
        <w:t xml:space="preserve"> </w:t>
      </w:r>
    </w:p>
    <w:p w14:paraId="6DB5592E" w14:textId="7ADAE2EF" w:rsidR="002E1741" w:rsidRDefault="00B54A00" w:rsidP="00623726">
      <w:pPr>
        <w:pStyle w:val="Level3"/>
      </w:pPr>
      <w:r>
        <w:t>in performing the Services or with respect to any of the Client</w:t>
      </w:r>
      <w:r w:rsidR="00073FFC">
        <w:t>’</w:t>
      </w:r>
      <w:r>
        <w:t>s accounts or assets (including where the Firm provides the Client or its directors, employees or agents with access to any Infrastructure);</w:t>
      </w:r>
    </w:p>
    <w:p w14:paraId="4C84B4EE" w14:textId="5FFB1A86" w:rsidR="002E1741" w:rsidRDefault="00B54A00" w:rsidP="00623726">
      <w:pPr>
        <w:pStyle w:val="Level3"/>
      </w:pPr>
      <w:r>
        <w:t xml:space="preserve">in relation to any order or Transaction or any transaction which: (i) an Agreed CCP does not accept for clearing for any reason; or (ii) is automatically accepted by the Firm and is subsequently unwound for any reason; </w:t>
      </w:r>
    </w:p>
    <w:p w14:paraId="3F356CBB" w14:textId="7C789362" w:rsidR="00674E09" w:rsidRDefault="00674E09" w:rsidP="00623726">
      <w:pPr>
        <w:pStyle w:val="Level3"/>
      </w:pPr>
      <w:r w:rsidRPr="00674E09">
        <w:t xml:space="preserve">in respect of any exercise by the Firm of any power or discretion under </w:t>
      </w:r>
      <w:r w:rsidR="00D769BA">
        <w:t>the</w:t>
      </w:r>
      <w:r w:rsidR="00D769BA" w:rsidRPr="00674E09">
        <w:t xml:space="preserve"> </w:t>
      </w:r>
      <w:r w:rsidR="000C1403">
        <w:t>Segregated Assets</w:t>
      </w:r>
      <w:r w:rsidR="00605B0A">
        <w:t xml:space="preserve"> Arrangement</w:t>
      </w:r>
      <w:r w:rsidRPr="00674E09">
        <w:t xml:space="preserve"> or as a result of endeavours made by the Firm in good faith to give effect to the </w:t>
      </w:r>
      <w:r w:rsidR="0029720C">
        <w:t>Segregated Asset</w:t>
      </w:r>
      <w:r w:rsidR="00094A99">
        <w:t xml:space="preserve"> Terms</w:t>
      </w:r>
      <w:r>
        <w:t>, in each case</w:t>
      </w:r>
      <w:r w:rsidR="00DE1AFA">
        <w:t xml:space="preserve">: (i) if, and to </w:t>
      </w:r>
      <w:r w:rsidR="00DE1AFA">
        <w:lastRenderedPageBreak/>
        <w:t xml:space="preserve">the extent, </w:t>
      </w:r>
      <w:r w:rsidR="00642F97">
        <w:t>attributable to the Client; and (ii) which</w:t>
      </w:r>
      <w:r>
        <w:t xml:space="preserve"> the Firm has not recovered</w:t>
      </w:r>
      <w:r w:rsidR="00173C9C">
        <w:t xml:space="preserve"> pursuant to an indemnity of the Client in the </w:t>
      </w:r>
      <w:r w:rsidR="0096454F">
        <w:t>Segregated Asset</w:t>
      </w:r>
      <w:r w:rsidR="00094A99">
        <w:t xml:space="preserve"> Terms</w:t>
      </w:r>
      <w:r w:rsidR="00173C9C">
        <w:t xml:space="preserve">; </w:t>
      </w:r>
    </w:p>
    <w:p w14:paraId="36B2C397" w14:textId="02E00C45" w:rsidR="002E1741" w:rsidRDefault="00B54A00" w:rsidP="00623726">
      <w:pPr>
        <w:pStyle w:val="Level3"/>
      </w:pPr>
      <w:r>
        <w:t>which are allocated</w:t>
      </w:r>
      <w:r w:rsidR="000B0533">
        <w:t xml:space="preserve"> to the Client</w:t>
      </w:r>
      <w:r>
        <w:t xml:space="preserve"> by an Agreed CCP; </w:t>
      </w:r>
    </w:p>
    <w:p w14:paraId="4BC155DC" w14:textId="0C4B8B60" w:rsidR="001D5CD7" w:rsidRDefault="00297696" w:rsidP="00623726">
      <w:pPr>
        <w:pStyle w:val="Level3"/>
      </w:pPr>
      <w:r w:rsidRPr="00297696">
        <w:t>in relation to any Transaction if the Client has not transferred or made available to the Firm any securities, commodities, money, documents or other property in accordance with clause</w:t>
      </w:r>
      <w:r w:rsidR="00201BAA">
        <w:t xml:space="preserve"> </w:t>
      </w:r>
      <w:r w:rsidR="00201BAA">
        <w:fldChar w:fldCharType="begin" w:fldLock="1"/>
      </w:r>
      <w:r w:rsidR="00201BAA">
        <w:instrText xml:space="preserve"> REF _Ref151712019 \r \h </w:instrText>
      </w:r>
      <w:r w:rsidR="00201BAA">
        <w:fldChar w:fldCharType="separate"/>
      </w:r>
      <w:r w:rsidR="009646BC">
        <w:t>6.1</w:t>
      </w:r>
      <w:r w:rsidR="00201BAA">
        <w:fldChar w:fldCharType="end"/>
      </w:r>
      <w:r>
        <w:t xml:space="preserve"> (</w:t>
      </w:r>
      <w:r w:rsidR="004215E1">
        <w:rPr>
          <w:i/>
          <w:iCs/>
        </w:rPr>
        <w:t>Performance</w:t>
      </w:r>
      <w:r w:rsidR="00945ED5">
        <w:rPr>
          <w:i/>
          <w:iCs/>
        </w:rPr>
        <w:t xml:space="preserve"> and</w:t>
      </w:r>
      <w:r w:rsidR="004215E1">
        <w:rPr>
          <w:i/>
          <w:iCs/>
        </w:rPr>
        <w:t xml:space="preserve"> settlement</w:t>
      </w:r>
      <w:r>
        <w:t>)</w:t>
      </w:r>
      <w:r w:rsidR="004215E1">
        <w:t xml:space="preserve"> </w:t>
      </w:r>
      <w:r w:rsidR="009147BE" w:rsidRPr="009147BE">
        <w:t>by the deadline specified by the Firm (including, any costs of funding which the Firm incurs in satisfying that obligation and any costs incurred by the Firm pursuant to clause</w:t>
      </w:r>
      <w:r w:rsidR="00201BAA">
        <w:t xml:space="preserve"> </w:t>
      </w:r>
      <w:r w:rsidR="00201BAA">
        <w:fldChar w:fldCharType="begin" w:fldLock="1"/>
      </w:r>
      <w:r w:rsidR="00201BAA">
        <w:instrText xml:space="preserve"> REF _Ref151712019 \r \h </w:instrText>
      </w:r>
      <w:r w:rsidR="00201BAA">
        <w:fldChar w:fldCharType="separate"/>
      </w:r>
      <w:r w:rsidR="009646BC">
        <w:t>6.1</w:t>
      </w:r>
      <w:r w:rsidR="00201BAA">
        <w:fldChar w:fldCharType="end"/>
      </w:r>
      <w:r w:rsidR="00201BAA">
        <w:t xml:space="preserve"> </w:t>
      </w:r>
      <w:r w:rsidR="009147BE">
        <w:t>(</w:t>
      </w:r>
      <w:r w:rsidR="009147BE">
        <w:rPr>
          <w:i/>
          <w:iCs/>
        </w:rPr>
        <w:t>Performance</w:t>
      </w:r>
      <w:r w:rsidR="00945ED5">
        <w:rPr>
          <w:i/>
          <w:iCs/>
        </w:rPr>
        <w:t xml:space="preserve"> and</w:t>
      </w:r>
      <w:r w:rsidR="009147BE">
        <w:rPr>
          <w:i/>
          <w:iCs/>
        </w:rPr>
        <w:t xml:space="preserve"> settlement</w:t>
      </w:r>
      <w:r w:rsidR="009147BE">
        <w:t>)</w:t>
      </w:r>
      <w:r w:rsidR="00201BAA">
        <w:t>);</w:t>
      </w:r>
    </w:p>
    <w:p w14:paraId="0AC98A5A" w14:textId="7E5709AA" w:rsidR="00A868A3" w:rsidRDefault="00B54A00" w:rsidP="00623726">
      <w:pPr>
        <w:pStyle w:val="Level3"/>
      </w:pPr>
      <w:r>
        <w:t xml:space="preserve">as a result of any misrepresentation by the Client or any breach of this </w:t>
      </w:r>
      <w:r w:rsidR="007A348A">
        <w:t xml:space="preserve">Client Clearing </w:t>
      </w:r>
      <w:r>
        <w:t xml:space="preserve">Agreement or Applicable Regulations by the Client or caused by the Client; </w:t>
      </w:r>
    </w:p>
    <w:p w14:paraId="360C9E99" w14:textId="5D8416EE" w:rsidR="00A868A3" w:rsidRDefault="00B54A00" w:rsidP="00623726">
      <w:pPr>
        <w:pStyle w:val="Level3"/>
      </w:pPr>
      <w:r>
        <w:t>which arise from the Firm enforcing its rights under th</w:t>
      </w:r>
      <w:r w:rsidR="0025793A">
        <w:t>e</w:t>
      </w:r>
      <w:r>
        <w:t xml:space="preserve"> Agreement, acting (or omitting to act) in reliance on communications or actions of the Client or taking other action contemplated by th</w:t>
      </w:r>
      <w:r w:rsidR="0025793A">
        <w:t>e</w:t>
      </w:r>
      <w:r>
        <w:t xml:space="preserve"> Agreement; </w:t>
      </w:r>
    </w:p>
    <w:p w14:paraId="66476095" w14:textId="50D11831" w:rsidR="003633C4" w:rsidRDefault="00B54A00" w:rsidP="00623726">
      <w:pPr>
        <w:pStyle w:val="Level3"/>
      </w:pPr>
      <w:r>
        <w:t>as a result of any investigation, action, litigation or proceeding by or involving any government agency, Infrastructure, regulatory or self-regulatory authority, counterparty, dealer, or other third party with respect to Transactions (including any dispute relating to delivery); or</w:t>
      </w:r>
    </w:p>
    <w:p w14:paraId="35981823" w14:textId="507A3F21" w:rsidR="00A868A3" w:rsidRDefault="00B54A00" w:rsidP="00094771">
      <w:pPr>
        <w:pStyle w:val="Level3"/>
      </w:pPr>
      <w:r>
        <w:t xml:space="preserve">as a result of the Firm making an Erroneous Payment. </w:t>
      </w:r>
    </w:p>
    <w:p w14:paraId="48F90443" w14:textId="1C77A01C" w:rsidR="00A868A3" w:rsidRDefault="00B54A00" w:rsidP="00094771">
      <w:pPr>
        <w:pStyle w:val="Level2"/>
      </w:pPr>
      <w:r w:rsidRPr="00A868A3">
        <w:rPr>
          <w:b/>
          <w:bCs/>
          <w:i/>
          <w:iCs/>
        </w:rPr>
        <w:t>Relationship to th</w:t>
      </w:r>
      <w:r w:rsidR="00B965B1">
        <w:rPr>
          <w:b/>
          <w:bCs/>
          <w:i/>
          <w:iCs/>
        </w:rPr>
        <w:t>e</w:t>
      </w:r>
      <w:r w:rsidRPr="00A868A3">
        <w:rPr>
          <w:b/>
          <w:bCs/>
          <w:i/>
          <w:iCs/>
        </w:rPr>
        <w:t xml:space="preserve"> Agreement</w:t>
      </w:r>
      <w:r w:rsidRPr="001A6624">
        <w:rPr>
          <w:b/>
          <w:bCs/>
          <w:i/>
          <w:iCs/>
        </w:rPr>
        <w:t>:</w:t>
      </w:r>
      <w:r>
        <w:t xml:space="preserve"> The provisions of this clause</w:t>
      </w:r>
      <w:r w:rsidR="00DB6E9D">
        <w:t xml:space="preserve"> </w:t>
      </w:r>
      <w:r w:rsidR="00DB6E9D">
        <w:fldChar w:fldCharType="begin" w:fldLock="1"/>
      </w:r>
      <w:r w:rsidR="00DB6E9D">
        <w:instrText xml:space="preserve"> REF _Ref133402777 \r \h </w:instrText>
      </w:r>
      <w:r w:rsidR="00DB6E9D">
        <w:fldChar w:fldCharType="separate"/>
      </w:r>
      <w:r w:rsidR="009646BC">
        <w:t>21</w:t>
      </w:r>
      <w:r w:rsidR="00DB6E9D">
        <w:fldChar w:fldCharType="end"/>
      </w:r>
      <w:r>
        <w:t xml:space="preserve"> apply notwithstanding any other term of th</w:t>
      </w:r>
      <w:r w:rsidR="00456307">
        <w:t>e</w:t>
      </w:r>
      <w:r>
        <w:t xml:space="preserve"> Agreement.</w:t>
      </w:r>
    </w:p>
    <w:p w14:paraId="37F538DC" w14:textId="7F1F6E48" w:rsidR="00793ECA" w:rsidRPr="009651B2" w:rsidRDefault="00A868A3" w:rsidP="00094771">
      <w:pPr>
        <w:pStyle w:val="Level2"/>
      </w:pPr>
      <w:r>
        <w:rPr>
          <w:b/>
          <w:bCs/>
          <w:i/>
          <w:iCs/>
        </w:rPr>
        <w:t xml:space="preserve">References to the Firm: </w:t>
      </w:r>
      <w:r w:rsidR="00793ECA">
        <w:t xml:space="preserve">Any reference to the Firm in this clause </w:t>
      </w:r>
      <w:r>
        <w:fldChar w:fldCharType="begin" w:fldLock="1"/>
      </w:r>
      <w:r>
        <w:instrText xml:space="preserve"> REF _Ref133402777 \w \h </w:instrText>
      </w:r>
      <w:r>
        <w:fldChar w:fldCharType="separate"/>
      </w:r>
      <w:r w:rsidR="009646BC">
        <w:t>21</w:t>
      </w:r>
      <w:r>
        <w:fldChar w:fldCharType="end"/>
      </w:r>
      <w:r w:rsidR="00793ECA">
        <w:t xml:space="preserve"> shall be taken as a reference to the </w:t>
      </w:r>
      <w:r w:rsidR="00793ECA" w:rsidRPr="009651B2">
        <w:t xml:space="preserve">Firm acting as principal and in its capacity as trustee in respect of </w:t>
      </w:r>
      <w:r w:rsidR="00891114" w:rsidRPr="009651B2">
        <w:t xml:space="preserve">the </w:t>
      </w:r>
      <w:r w:rsidR="000C1403" w:rsidRPr="009651B2">
        <w:t>Segregated Assets</w:t>
      </w:r>
      <w:r w:rsidR="00802900" w:rsidRPr="009651B2">
        <w:t xml:space="preserve"> Arrangement</w:t>
      </w:r>
      <w:r w:rsidR="00793ECA" w:rsidRPr="009651B2">
        <w:t xml:space="preserve">. </w:t>
      </w:r>
    </w:p>
    <w:p w14:paraId="0A28A881" w14:textId="6C876E3B" w:rsidR="007810BE" w:rsidRPr="009651B2" w:rsidRDefault="00177594" w:rsidP="00B17F9F">
      <w:pPr>
        <w:pStyle w:val="Level2"/>
      </w:pPr>
      <w:r w:rsidRPr="00191699">
        <w:rPr>
          <w:b/>
          <w:bCs/>
          <w:i/>
          <w:iCs/>
        </w:rPr>
        <w:t>A</w:t>
      </w:r>
      <w:r w:rsidR="007810BE" w:rsidRPr="00191699">
        <w:rPr>
          <w:b/>
          <w:bCs/>
          <w:i/>
          <w:iCs/>
        </w:rPr>
        <w:t>mendments:</w:t>
      </w:r>
      <w:r w:rsidR="007810BE" w:rsidRPr="009651B2">
        <w:t xml:space="preserve"> </w:t>
      </w:r>
      <w:r w:rsidR="006B1CD2">
        <w:t>The</w:t>
      </w:r>
      <w:r w:rsidR="00A67FC0" w:rsidRPr="00191699">
        <w:t xml:space="preserve"> Parties agree that this Client Clearing Agreement </w:t>
      </w:r>
      <w:r w:rsidR="00FE61ED" w:rsidRPr="00FE61ED">
        <w:t xml:space="preserve">sets out the contractual agreement between the Firm and Client in relation to the matters covered by it and that whilst </w:t>
      </w:r>
      <w:r w:rsidR="008272C0">
        <w:t>the Parties may contractually agree, pursuant to this Client Clearing Agreement, to</w:t>
      </w:r>
      <w:r w:rsidR="00FE61ED" w:rsidRPr="00FE61ED">
        <w:t xml:space="preserve"> supplement</w:t>
      </w:r>
      <w:r w:rsidR="008272C0">
        <w:t>, depart from or override</w:t>
      </w:r>
      <w:r w:rsidR="00FE61ED" w:rsidRPr="00FE61ED">
        <w:t xml:space="preserve"> the Segregated Asset Terms as between the Parties only, </w:t>
      </w:r>
      <w:r w:rsidR="0025138C">
        <w:t xml:space="preserve">such agreement </w:t>
      </w:r>
      <w:r w:rsidR="00A67FC0" w:rsidRPr="00191699">
        <w:t xml:space="preserve">does not </w:t>
      </w:r>
      <w:r w:rsidR="00FE61ED">
        <w:t>amend</w:t>
      </w:r>
      <w:r w:rsidR="0041074A" w:rsidRPr="00191699">
        <w:t xml:space="preserve"> </w:t>
      </w:r>
      <w:r w:rsidR="0025138C">
        <w:t xml:space="preserve">or vary </w:t>
      </w:r>
      <w:r w:rsidR="0041074A" w:rsidRPr="00191699">
        <w:t>the Segregated Asset Terms</w:t>
      </w:r>
      <w:r w:rsidR="0025138C">
        <w:t xml:space="preserve"> themselves nor incorporate any terms of this Client Clearing Agreement into the Segregated Asset Terms</w:t>
      </w:r>
      <w:r w:rsidR="003E3226">
        <w:t>.</w:t>
      </w:r>
    </w:p>
    <w:p w14:paraId="14175E3C" w14:textId="0A392E32" w:rsidR="00E31C4E" w:rsidRDefault="00E31C4E" w:rsidP="00623726">
      <w:pPr>
        <w:pStyle w:val="Level1"/>
      </w:pPr>
      <w:r>
        <w:t>INFORMATION ABOUT THE CLIENT AND THE FIRM</w:t>
      </w:r>
    </w:p>
    <w:p w14:paraId="42FFF35A" w14:textId="27F01094" w:rsidR="00E31C4E" w:rsidRDefault="00E0296F" w:rsidP="00094771">
      <w:pPr>
        <w:pStyle w:val="Level2"/>
      </w:pPr>
      <w:bookmarkStart w:id="126" w:name="_Ref133404207"/>
      <w:r w:rsidRPr="00191699">
        <w:t>[</w:t>
      </w:r>
      <w:r w:rsidR="00E31C4E" w:rsidRPr="00E31C4E">
        <w:rPr>
          <w:b/>
          <w:bCs/>
          <w:i/>
          <w:iCs/>
        </w:rPr>
        <w:t>Confidentiality of Client information:</w:t>
      </w:r>
      <w:r w:rsidR="00E31C4E">
        <w:t xml:space="preserve"> The Firm will treat all non-public information it holds about the Client or the Client</w:t>
      </w:r>
      <w:r w:rsidR="00073FFC">
        <w:t>’</w:t>
      </w:r>
      <w:r w:rsidR="00E31C4E">
        <w:t>s account or Transactions as confidential. The Client agrees, however, that the Firm may disclose that information to its Associates without the Client</w:t>
      </w:r>
      <w:r w:rsidR="00073FFC">
        <w:t>’</w:t>
      </w:r>
      <w:r w:rsidR="00E31C4E">
        <w:t>s consent, and that the Firm and its Associates may disclose that information without the Client</w:t>
      </w:r>
      <w:r w:rsidR="00073FFC">
        <w:t>’</w:t>
      </w:r>
      <w:r w:rsidR="00E31C4E">
        <w:t>s consent to:</w:t>
      </w:r>
      <w:bookmarkEnd w:id="126"/>
      <w:r w:rsidR="00E31C4E">
        <w:t xml:space="preserve"> </w:t>
      </w:r>
    </w:p>
    <w:p w14:paraId="7920E3ED" w14:textId="0FAC6690" w:rsidR="00E31C4E" w:rsidRDefault="00E31C4E" w:rsidP="00623726">
      <w:pPr>
        <w:pStyle w:val="Level3"/>
      </w:pPr>
      <w:r>
        <w:t>those who provide advice or other services to the Firm or act as the Firm</w:t>
      </w:r>
      <w:r w:rsidR="00073FFC">
        <w:t>’</w:t>
      </w:r>
      <w:r>
        <w:t>s agents;</w:t>
      </w:r>
    </w:p>
    <w:p w14:paraId="65CD2FE5" w14:textId="20F55063" w:rsidR="00E31C4E" w:rsidRDefault="00E31C4E" w:rsidP="00623726">
      <w:pPr>
        <w:pStyle w:val="Level3"/>
      </w:pPr>
      <w:r>
        <w:t>anyone to whom the Firm transfers or proposes to transfer any of the Firm</w:t>
      </w:r>
      <w:r w:rsidR="00073FFC">
        <w:t>’</w:t>
      </w:r>
      <w:r>
        <w:t>s rights or duties under th</w:t>
      </w:r>
      <w:r w:rsidR="005A7910">
        <w:t>e</w:t>
      </w:r>
      <w:r>
        <w:t xml:space="preserve"> Agreement; </w:t>
      </w:r>
    </w:p>
    <w:p w14:paraId="60750FB1" w14:textId="77777777" w:rsidR="00E31C4E" w:rsidRDefault="00E31C4E" w:rsidP="00623726">
      <w:pPr>
        <w:pStyle w:val="Level3"/>
      </w:pPr>
      <w:r>
        <w:lastRenderedPageBreak/>
        <w:t xml:space="preserve">credit reference agencies or other organisations that help the Firm and others: (i) make credit decisions and reduce the incidence of fraud; or (ii) in the course of carrying out identity, fraud prevention or credit control checks; </w:t>
      </w:r>
    </w:p>
    <w:p w14:paraId="242463C9" w14:textId="3CD0182F" w:rsidR="00E31C4E" w:rsidRDefault="00E31C4E" w:rsidP="00623726">
      <w:pPr>
        <w:pStyle w:val="Level3"/>
      </w:pPr>
      <w:r>
        <w:t>any other party where the Firm is required to do so by Applicable Regulations or where the Firm</w:t>
      </w:r>
      <w:r w:rsidR="00073FFC">
        <w:t>’</w:t>
      </w:r>
      <w:r>
        <w:t>s interests require disclosure; and/or</w:t>
      </w:r>
    </w:p>
    <w:p w14:paraId="2BEB3E45" w14:textId="4D03C188" w:rsidR="00E31C4E" w:rsidRDefault="00E31C4E" w:rsidP="00623726">
      <w:pPr>
        <w:pStyle w:val="Level3"/>
      </w:pPr>
      <w:r>
        <w:t>to any Infrastructure, regulator or government agency upon request from such entity.</w:t>
      </w:r>
    </w:p>
    <w:p w14:paraId="7AC09FFA" w14:textId="0CC3DACE" w:rsidR="00E31C4E" w:rsidRDefault="00E31C4E" w:rsidP="00E31C4E">
      <w:pPr>
        <w:pStyle w:val="Body1"/>
      </w:pPr>
      <w:r>
        <w:t>In the case of a joint account, the Firm and its Associates may also disclose to any of the joint account holders information obtained by the Firm from any of the joint account holders in relation to the account or Transactions.</w:t>
      </w:r>
      <w:r w:rsidR="004F6843">
        <w:t>]</w:t>
      </w:r>
      <w:r>
        <w:t xml:space="preserve"> </w:t>
      </w:r>
    </w:p>
    <w:p w14:paraId="7A7D67B4" w14:textId="7E199EC2" w:rsidR="00E31C4E" w:rsidRDefault="00E0296F" w:rsidP="00094771">
      <w:pPr>
        <w:pStyle w:val="Level2"/>
      </w:pPr>
      <w:r w:rsidRPr="00191699">
        <w:t>[</w:t>
      </w:r>
      <w:r w:rsidR="00E31C4E" w:rsidRPr="00E31C4E">
        <w:rPr>
          <w:b/>
          <w:bCs/>
          <w:i/>
          <w:iCs/>
        </w:rPr>
        <w:t>Confidentiality of Firm information</w:t>
      </w:r>
      <w:r w:rsidR="00E31C4E" w:rsidRPr="001A6624">
        <w:rPr>
          <w:b/>
          <w:bCs/>
          <w:i/>
          <w:iCs/>
        </w:rPr>
        <w:t>:</w:t>
      </w:r>
      <w:r w:rsidR="00E31C4E">
        <w:t xml:space="preserve"> The Client will treat all non-public information it holds about the Firm and its Associates as confidential, including the terms of th</w:t>
      </w:r>
      <w:r w:rsidR="0077255A">
        <w:t>e</w:t>
      </w:r>
      <w:r w:rsidR="00E31C4E">
        <w:t xml:space="preserve"> Agreement. The Firm agrees, however, that the Client may disclose that information to its Affiliates and, where reasonably necessary, to its agents and others who provide legal or professional advice to the Client without the Firm</w:t>
      </w:r>
      <w:r w:rsidR="00073FFC">
        <w:t>’</w:t>
      </w:r>
      <w:r w:rsidR="00E31C4E">
        <w:t>s consent, and that the Client and its Affiliates may disclose that information without the Firm</w:t>
      </w:r>
      <w:r w:rsidR="00073FFC">
        <w:t>’</w:t>
      </w:r>
      <w:r w:rsidR="00E31C4E">
        <w:t>s consent to any party where the Client is required to do so by Applicable Regulations or to any regulator or government agency upon request from such entity.</w:t>
      </w:r>
      <w:r>
        <w:t>]</w:t>
      </w:r>
    </w:p>
    <w:p w14:paraId="283FC991" w14:textId="37EC6C8B" w:rsidR="00E31C4E" w:rsidRDefault="00E0296F" w:rsidP="00094771">
      <w:pPr>
        <w:pStyle w:val="Level2"/>
      </w:pPr>
      <w:r w:rsidRPr="00191699">
        <w:t>[</w:t>
      </w:r>
      <w:r w:rsidR="00E31C4E" w:rsidRPr="00E31C4E">
        <w:rPr>
          <w:b/>
          <w:bCs/>
          <w:i/>
          <w:iCs/>
        </w:rPr>
        <w:t>Data protection</w:t>
      </w:r>
      <w:r w:rsidR="003633C4" w:rsidRPr="00E31C4E">
        <w:rPr>
          <w:b/>
          <w:bCs/>
          <w:i/>
          <w:iCs/>
        </w:rPr>
        <w:t>:</w:t>
      </w:r>
      <w:r w:rsidR="00E31C4E">
        <w:t xml:space="preserve"> Before providing the Firm with any information relating to identifiable living individuals in connection with th</w:t>
      </w:r>
      <w:r w:rsidR="0077255A">
        <w:t>e</w:t>
      </w:r>
      <w:r w:rsidR="00E31C4E">
        <w:t xml:space="preserve"> Agreement, the Client shall provide [[those individuals with the categories of personal data that the Client is providing to the Firm.] OR [the following information to those individuals (except where those individuals already have the information):</w:t>
      </w:r>
    </w:p>
    <w:p w14:paraId="136D750B" w14:textId="77777777" w:rsidR="00E31C4E" w:rsidRDefault="00E31C4E" w:rsidP="00623726">
      <w:pPr>
        <w:pStyle w:val="Level3"/>
      </w:pPr>
      <w:r>
        <w:t>the categories of personal data that the Client is providing to the Firm;</w:t>
      </w:r>
    </w:p>
    <w:p w14:paraId="47991D8D" w14:textId="0E6C761C" w:rsidR="00E31C4E" w:rsidRDefault="00E31C4E" w:rsidP="00623726">
      <w:pPr>
        <w:pStyle w:val="Level3"/>
      </w:pPr>
      <w:bookmarkStart w:id="127" w:name="_Ref151494365"/>
      <w:r>
        <w:t>the Firm</w:t>
      </w:r>
      <w:r w:rsidR="00073FFC">
        <w:t>’</w:t>
      </w:r>
      <w:r>
        <w:t>s identity, and the fact that those individuals can contact the Firm at [contact details] [and the Firm</w:t>
      </w:r>
      <w:r w:rsidR="00073FFC">
        <w:t>’</w:t>
      </w:r>
      <w:r>
        <w:t>s data protection officer at [contact details]];</w:t>
      </w:r>
      <w:bookmarkEnd w:id="127"/>
    </w:p>
    <w:p w14:paraId="6B33ED0D" w14:textId="6353E00D" w:rsidR="00E31C4E" w:rsidRDefault="00E31C4E" w:rsidP="00623726">
      <w:pPr>
        <w:pStyle w:val="Level3"/>
      </w:pPr>
      <w:bookmarkStart w:id="128" w:name="_Ref134575712"/>
      <w:r>
        <w:t>that the Firm may process those individuals</w:t>
      </w:r>
      <w:r w:rsidR="00073FFC">
        <w:t>’</w:t>
      </w:r>
      <w:r>
        <w:t xml:space="preserve"> personal data for the purposes of administering and operating the Client</w:t>
      </w:r>
      <w:r w:rsidR="00073FFC">
        <w:t>’</w:t>
      </w:r>
      <w:r>
        <w:t>s account, complying with Applicable Regulations and [specify other purposes for which personal data collected from the Client may be processed];</w:t>
      </w:r>
      <w:bookmarkEnd w:id="128"/>
    </w:p>
    <w:p w14:paraId="5FA7A67F" w14:textId="0F79285D" w:rsidR="00E31C4E" w:rsidRDefault="00E31C4E" w:rsidP="00623726">
      <w:pPr>
        <w:pStyle w:val="Level3"/>
      </w:pPr>
      <w:r>
        <w:t>that this processing is permitted by applicable data protection law because it is: (i) necessary for the purposes of the Firm</w:t>
      </w:r>
      <w:r w:rsidR="00073FFC">
        <w:t>’</w:t>
      </w:r>
      <w:r>
        <w:t xml:space="preserve">s legitimate interests in pursuing the purposes set out in </w:t>
      </w:r>
      <w:r w:rsidR="006B36EC">
        <w:t xml:space="preserve">clause </w:t>
      </w:r>
      <w:r w:rsidR="006B36EC">
        <w:fldChar w:fldCharType="begin" w:fldLock="1"/>
      </w:r>
      <w:r w:rsidR="006B36EC">
        <w:instrText xml:space="preserve"> REF _Ref134575712 \r \h </w:instrText>
      </w:r>
      <w:r w:rsidR="006B36EC">
        <w:fldChar w:fldCharType="separate"/>
      </w:r>
      <w:r w:rsidR="009646BC">
        <w:t>22.3.3</w:t>
      </w:r>
      <w:r w:rsidR="006B36EC">
        <w:fldChar w:fldCharType="end"/>
      </w:r>
      <w:r>
        <w:t xml:space="preserve"> (which are not overridden by prejudice to the relevant </w:t>
      </w:r>
      <w:r w:rsidR="0076033E">
        <w:t>individuals’</w:t>
      </w:r>
      <w:r>
        <w:t xml:space="preserve"> privacy); and/or (ii) </w:t>
      </w:r>
      <w:r w:rsidR="00E13CF2">
        <w:t xml:space="preserve">in some cases, </w:t>
      </w:r>
      <w:r>
        <w:t>necessary so that the Firm can comply with Applicable Regulations;</w:t>
      </w:r>
    </w:p>
    <w:p w14:paraId="04C86665" w14:textId="595C327A" w:rsidR="00E31C4E" w:rsidRDefault="00E31C4E" w:rsidP="00623726">
      <w:pPr>
        <w:pStyle w:val="Level3"/>
      </w:pPr>
      <w:r>
        <w:t xml:space="preserve">that the Firm may disclose the personal data of those individuals to persons in the categories identified in clause </w:t>
      </w:r>
      <w:r>
        <w:fldChar w:fldCharType="begin" w:fldLock="1"/>
      </w:r>
      <w:r>
        <w:instrText xml:space="preserve"> REF _Ref133404207 \w \h </w:instrText>
      </w:r>
      <w:r>
        <w:fldChar w:fldCharType="separate"/>
      </w:r>
      <w:r w:rsidR="009646BC">
        <w:t>22.1</w:t>
      </w:r>
      <w:r>
        <w:fldChar w:fldCharType="end"/>
      </w:r>
      <w:r>
        <w:t xml:space="preserve"> (</w:t>
      </w:r>
      <w:r w:rsidRPr="00E31C4E">
        <w:rPr>
          <w:i/>
          <w:iCs/>
        </w:rPr>
        <w:t>Confidentiality of Client information</w:t>
      </w:r>
      <w:r>
        <w:t>);</w:t>
      </w:r>
    </w:p>
    <w:p w14:paraId="394AF789" w14:textId="77777777" w:rsidR="005321AC" w:rsidRDefault="00E31C4E" w:rsidP="00623726">
      <w:pPr>
        <w:pStyle w:val="Level3"/>
      </w:pPr>
      <w:r>
        <w:t xml:space="preserve">that this may involve transfer of the personal data of those individuals outside the UK, but that, except where the country to which the data are transferred has been determined to ensure an adequate level of data protection for the purposes of UK data protection law by the Secretary of State [or the Firm needs to make the transfer in order to perform a contract concluded in the interests of the relevant individual], the Firm will ensure that the transferred personal data are protected by [a data </w:t>
      </w:r>
      <w:r>
        <w:lastRenderedPageBreak/>
        <w:t>transfer agreement in the appropriate standard form under UK data protection law [or specify other basis – such as binding corporate rules – on which transfer may be justified]] (and that further details of these transfers and copies of these [agreements] are available from the Firm on request);</w:t>
      </w:r>
    </w:p>
    <w:p w14:paraId="7F4B244D" w14:textId="77777777" w:rsidR="005321AC" w:rsidRDefault="00E31C4E" w:rsidP="00623726">
      <w:pPr>
        <w:pStyle w:val="Level3"/>
      </w:pPr>
      <w:r>
        <w:t>that the Firm will retain the personal data of those individuals for [specify retention period (i.e. maximum period for which data will be retained) or criteria used to determine the retention period]; and</w:t>
      </w:r>
      <w:r>
        <w:tab/>
      </w:r>
    </w:p>
    <w:p w14:paraId="4EADD9DA" w14:textId="652675DB" w:rsidR="00E31C4E" w:rsidRPr="00E31C4E" w:rsidRDefault="00E31C4E" w:rsidP="00742BA4">
      <w:pPr>
        <w:pStyle w:val="Level3"/>
      </w:pPr>
      <w:r>
        <w:t xml:space="preserve">that those individuals: (i) have rights of access to and rectification or erasure of their personal data and to restrict or object to its processing, which they can exercise by contacting the Firm (see </w:t>
      </w:r>
      <w:r w:rsidR="00E17F68">
        <w:t xml:space="preserve">clause </w:t>
      </w:r>
      <w:r w:rsidR="00E17F68">
        <w:fldChar w:fldCharType="begin" w:fldLock="1"/>
      </w:r>
      <w:r w:rsidR="00E17F68">
        <w:instrText xml:space="preserve"> REF _Ref151494365 \r \h </w:instrText>
      </w:r>
      <w:r w:rsidR="00E17F68">
        <w:fldChar w:fldCharType="separate"/>
      </w:r>
      <w:r w:rsidR="009646BC">
        <w:t>22.3.2</w:t>
      </w:r>
      <w:r w:rsidR="00E17F68">
        <w:fldChar w:fldCharType="end"/>
      </w:r>
      <w:r>
        <w:t xml:space="preserve">); and (ii) can lodge complaints about the </w:t>
      </w:r>
      <w:r w:rsidR="0076033E">
        <w:t>Firm’s</w:t>
      </w:r>
      <w:r>
        <w:t xml:space="preserve"> processing of their personal data with the office of the Information Commissione</w:t>
      </w:r>
      <w:r w:rsidR="00073FFC" w:rsidRPr="0076033E">
        <w:t xml:space="preserve">r </w:t>
      </w:r>
      <w:r w:rsidR="00CB0399">
        <w:t>(</w:t>
      </w:r>
      <w:hyperlink r:id="rId8" w:history="1">
        <w:r w:rsidR="00CB0399" w:rsidRPr="00D74B3D">
          <w:rPr>
            <w:rStyle w:val="Hyperlink"/>
          </w:rPr>
          <w:t>https://www.ico.org.uk</w:t>
        </w:r>
      </w:hyperlink>
      <w:r w:rsidR="00CB0399">
        <w:t>)</w:t>
      </w:r>
      <w:r>
        <w:t>.]]</w:t>
      </w:r>
      <w:r w:rsidR="00E0296F">
        <w:t>]</w:t>
      </w:r>
      <w:r w:rsidR="00A72C60">
        <w:t xml:space="preserve"> </w:t>
      </w:r>
    </w:p>
    <w:p w14:paraId="47F219C6" w14:textId="6F0F63CE" w:rsidR="005321AC" w:rsidRDefault="005321AC" w:rsidP="00623726">
      <w:pPr>
        <w:pStyle w:val="Level1"/>
      </w:pPr>
      <w:r>
        <w:t>INFORMATION COLLECTION, FATCA AND REPORTING</w:t>
      </w:r>
    </w:p>
    <w:p w14:paraId="08C81BE5" w14:textId="5EFDFBD3" w:rsidR="005321AC" w:rsidRDefault="005321AC" w:rsidP="00AA02DF">
      <w:pPr>
        <w:pStyle w:val="Level2"/>
      </w:pPr>
      <w:bookmarkStart w:id="129" w:name="_Ref161351095"/>
      <w:r w:rsidRPr="005321AC">
        <w:rPr>
          <w:b/>
          <w:bCs/>
          <w:i/>
          <w:iCs/>
        </w:rPr>
        <w:t>Collection of information:</w:t>
      </w:r>
      <w:r>
        <w:t xml:space="preserve"> The Client will promptly provide the Firm with any information the Firm determines is required, permitted or desirable to enable the Firm or any Associate of the Firm to comply with any Applicable Regulations, to respond to requests from any Infrastructure or regulatory body in relation to the </w:t>
      </w:r>
      <w:r w:rsidR="0076033E">
        <w:t>Client’s</w:t>
      </w:r>
      <w:r>
        <w:t xml:space="preserve"> orders or Transactions or other matters relating to the Services (including the identity of Clients given direct access to a trading venue by electronic means). The Client agrees to co</w:t>
      </w:r>
      <w:r w:rsidR="003C3B99">
        <w:t>-</w:t>
      </w:r>
      <w:r>
        <w:t>operate with the Firm and that any information relevant to the enquiry may be passed to any Associate of the Firm or any Infrastructure</w:t>
      </w:r>
      <w:r w:rsidR="00CC0B14">
        <w:t xml:space="preserve"> </w:t>
      </w:r>
      <w:r>
        <w:t>or regulatory body as may be appropriate and the Client will update that information or data as required by the Firm from time to time. The Client will notify the Firm in writing within 30 days of any material change in the validity of, or information contained in, any information that the Client has previously provided to the Firm further to this clause</w:t>
      </w:r>
      <w:r w:rsidR="00D41D08">
        <w:t xml:space="preserve"> </w:t>
      </w:r>
      <w:r w:rsidR="00D41D08">
        <w:fldChar w:fldCharType="begin" w:fldLock="1"/>
      </w:r>
      <w:r w:rsidR="00D41D08">
        <w:instrText xml:space="preserve"> REF _Ref161351095 \r \h </w:instrText>
      </w:r>
      <w:r w:rsidR="00D41D08">
        <w:fldChar w:fldCharType="separate"/>
      </w:r>
      <w:r w:rsidR="009646BC">
        <w:t>23.1</w:t>
      </w:r>
      <w:r w:rsidR="00D41D08">
        <w:fldChar w:fldCharType="end"/>
      </w:r>
      <w:r>
        <w:t xml:space="preserve">. If the relevant information relates to a third party (including a client of the Client for whom the Client is providing related services), the Client will procure the third </w:t>
      </w:r>
      <w:r w:rsidR="0076033E">
        <w:t>party’s</w:t>
      </w:r>
      <w:r>
        <w:t xml:space="preserve"> consent to such disclosure.</w:t>
      </w:r>
      <w:bookmarkEnd w:id="129"/>
    </w:p>
    <w:p w14:paraId="7FE2D04B" w14:textId="31BE540D" w:rsidR="005321AC" w:rsidRDefault="005321AC" w:rsidP="00AA02DF">
      <w:pPr>
        <w:pStyle w:val="Level2"/>
      </w:pPr>
      <w:bookmarkStart w:id="130" w:name="_Ref161351112"/>
      <w:r w:rsidRPr="005321AC">
        <w:rPr>
          <w:b/>
          <w:bCs/>
          <w:i/>
          <w:iCs/>
        </w:rPr>
        <w:t>FATCA reporting:</w:t>
      </w:r>
      <w:r>
        <w:t xml:space="preserve"> The Firm (which for the purposes of this clause</w:t>
      </w:r>
      <w:r w:rsidR="00D41D08">
        <w:t xml:space="preserve"> </w:t>
      </w:r>
      <w:r w:rsidR="00D41D08">
        <w:fldChar w:fldCharType="begin" w:fldLock="1"/>
      </w:r>
      <w:r w:rsidR="00D41D08">
        <w:instrText xml:space="preserve"> REF _Ref161351112 \r \h </w:instrText>
      </w:r>
      <w:r w:rsidR="00D41D08">
        <w:fldChar w:fldCharType="separate"/>
      </w:r>
      <w:r w:rsidR="009646BC">
        <w:t>23.2</w:t>
      </w:r>
      <w:r w:rsidR="00D41D08">
        <w:fldChar w:fldCharType="end"/>
      </w:r>
      <w:r>
        <w:t xml:space="preserve"> includes its Associates and the agents and service providers of any of them) may collect, store and process information obtained from the Client or otherwise in connection with th</w:t>
      </w:r>
      <w:r w:rsidR="0077255A">
        <w:t>e</w:t>
      </w:r>
      <w:r>
        <w:t xml:space="preserve"> Agreement and the Transactions for the purpose of complying with FATCA, including disclosures between themselves and to governmental authorities. The Client acknowledges that this may include transfers of information to jurisdictions which do not have strict data protection laws, data privacy laws or banking secrecy laws. The Client will ensure that, before it or anyone on its behalf discloses information relating to any third party to the Firm in connection with th</w:t>
      </w:r>
      <w:r w:rsidR="0077255A">
        <w:t>e</w:t>
      </w:r>
      <w:r>
        <w:t xml:space="preserve"> Agreement</w:t>
      </w:r>
      <w:r w:rsidR="00BF65C1">
        <w:t xml:space="preserve"> </w:t>
      </w:r>
      <w:r>
        <w:t>or the Transactions, that third party has been provided with such information and has given such consents or waivers as are necessary to allow the Firm to collect, store, process and disclose his, her or its information for the purpose of complying with FATCA as described in this clause</w:t>
      </w:r>
      <w:r w:rsidR="00D41D08">
        <w:t xml:space="preserve"> </w:t>
      </w:r>
      <w:r w:rsidR="00D41D08">
        <w:fldChar w:fldCharType="begin" w:fldLock="1"/>
      </w:r>
      <w:r w:rsidR="00D41D08">
        <w:instrText xml:space="preserve"> REF _Ref161351112 \r \h </w:instrText>
      </w:r>
      <w:r w:rsidR="00D41D08">
        <w:fldChar w:fldCharType="separate"/>
      </w:r>
      <w:r w:rsidR="009646BC">
        <w:t>23.2</w:t>
      </w:r>
      <w:r w:rsidR="00D41D08">
        <w:fldChar w:fldCharType="end"/>
      </w:r>
      <w:r>
        <w:t>.</w:t>
      </w:r>
      <w:bookmarkEnd w:id="130"/>
    </w:p>
    <w:p w14:paraId="3C74B6DE" w14:textId="71E94529" w:rsidR="005321AC" w:rsidRPr="005321AC" w:rsidRDefault="005321AC" w:rsidP="00094771">
      <w:pPr>
        <w:pStyle w:val="Level2"/>
      </w:pPr>
      <w:r w:rsidRPr="005321AC">
        <w:rPr>
          <w:b/>
          <w:bCs/>
          <w:i/>
          <w:iCs/>
        </w:rPr>
        <w:t>Other reporting:</w:t>
      </w:r>
      <w:r>
        <w:t xml:space="preserve"> Without prejudice to any provision of this</w:t>
      </w:r>
      <w:r w:rsidR="00DD361C">
        <w:t xml:space="preserve"> Client Clearing</w:t>
      </w:r>
      <w:r>
        <w:t xml:space="preserve"> Agreement relating to information or data or its disclosure, the Client consents to the disclosure by the Firm or its Associates of any information or data in connection with or relating to the Client, th</w:t>
      </w:r>
      <w:r w:rsidR="00DD361C">
        <w:t>e</w:t>
      </w:r>
      <w:r>
        <w:t xml:space="preserve"> Agreement</w:t>
      </w:r>
      <w:r w:rsidR="00603A00">
        <w:t xml:space="preserve"> </w:t>
      </w:r>
      <w:r>
        <w:t xml:space="preserve">and/or any Transaction (including pricing data) to the extent that the Firm determines is required, permitted or desirable to comply with Applicable Regulations, to </w:t>
      </w:r>
      <w:r>
        <w:lastRenderedPageBreak/>
        <w:t xml:space="preserve">respond to requests from any Infrastructure or regulatory body in relation to the </w:t>
      </w:r>
      <w:r w:rsidR="0076033E">
        <w:t>Client’s</w:t>
      </w:r>
      <w:r>
        <w:t xml:space="preserve"> orders or Transactions or to perform the Services. If the relevant information relates to a third party (including a client of the Client for whom the Client is providing related services), the Client will procure the third </w:t>
      </w:r>
      <w:r w:rsidR="0076033E">
        <w:t>party’s</w:t>
      </w:r>
      <w:r>
        <w:t xml:space="preserve"> consent to that disclosure.</w:t>
      </w:r>
    </w:p>
    <w:p w14:paraId="46C46A8A" w14:textId="651C84A6" w:rsidR="00CC0B14" w:rsidRDefault="00CC0B14" w:rsidP="00623726">
      <w:pPr>
        <w:pStyle w:val="Level1"/>
      </w:pPr>
      <w:bookmarkStart w:id="131" w:name="_Ref133414791"/>
      <w:r>
        <w:t>VOLUNTARY TERMINATION</w:t>
      </w:r>
      <w:bookmarkEnd w:id="131"/>
      <w:r>
        <w:t xml:space="preserve"> </w:t>
      </w:r>
    </w:p>
    <w:p w14:paraId="1219B8C9" w14:textId="5D7E35AB" w:rsidR="00CC0B14" w:rsidRDefault="00CC0B14" w:rsidP="007A1882">
      <w:pPr>
        <w:pStyle w:val="Level2"/>
      </w:pPr>
      <w:bookmarkStart w:id="132" w:name="_Ref133406569"/>
      <w:r w:rsidRPr="00CC0B14">
        <w:rPr>
          <w:b/>
          <w:bCs/>
          <w:i/>
          <w:iCs/>
        </w:rPr>
        <w:t xml:space="preserve">Termination of a Clearing Service and/or this </w:t>
      </w:r>
      <w:r w:rsidR="00DB5B53" w:rsidRPr="00DB5B53">
        <w:rPr>
          <w:b/>
          <w:bCs/>
          <w:i/>
          <w:iCs/>
        </w:rPr>
        <w:t xml:space="preserve">Client Clearing </w:t>
      </w:r>
      <w:r w:rsidRPr="00CC0B14">
        <w:rPr>
          <w:b/>
          <w:bCs/>
          <w:i/>
          <w:iCs/>
        </w:rPr>
        <w:t>Agreement</w:t>
      </w:r>
      <w:r w:rsidRPr="001A6624">
        <w:rPr>
          <w:b/>
          <w:bCs/>
          <w:i/>
          <w:iCs/>
        </w:rPr>
        <w:t>:</w:t>
      </w:r>
      <w:r w:rsidRPr="00CC0B14">
        <w:t xml:space="preserve"> Either Party may terminate any Agreed CCP Service and/or this</w:t>
      </w:r>
      <w:r w:rsidR="00DB5B53" w:rsidRPr="00DB5B53">
        <w:t xml:space="preserve"> </w:t>
      </w:r>
      <w:r w:rsidR="00DB5B53">
        <w:t>Client Clearing</w:t>
      </w:r>
      <w:r w:rsidRPr="00CC0B14">
        <w:t xml:space="preserve"> Agreement (and, in the case of termination of this </w:t>
      </w:r>
      <w:r w:rsidR="00DB5B53">
        <w:t>Client Clearing</w:t>
      </w:r>
      <w:r w:rsidR="00DB5B53" w:rsidRPr="00CC0B14">
        <w:t xml:space="preserve"> </w:t>
      </w:r>
      <w:r w:rsidRPr="00CC0B14">
        <w:t>Agreement, the relationship between the Parties) for no reason by giving [</w:t>
      </w:r>
      <w:r w:rsidR="00426A9B">
        <w:rPr>
          <w:rFonts w:cs="Arial"/>
        </w:rPr>
        <w:t>●</w:t>
      </w:r>
      <w:r w:rsidRPr="00CC0B14">
        <w:t>] d</w:t>
      </w:r>
      <w:r w:rsidR="0076033E">
        <w:t>ays’</w:t>
      </w:r>
      <w:r w:rsidRPr="00CC0B14">
        <w:t xml:space="preserve"> written notice of termination to the other or the Firm may terminate immediately on notice following an Event of Default or in accordance with clause </w:t>
      </w:r>
      <w:r>
        <w:fldChar w:fldCharType="begin" w:fldLock="1"/>
      </w:r>
      <w:r>
        <w:instrText xml:space="preserve"> REF _Ref133406418 \w \h </w:instrText>
      </w:r>
      <w:r>
        <w:fldChar w:fldCharType="separate"/>
      </w:r>
      <w:r w:rsidR="009646BC">
        <w:t>2.2</w:t>
      </w:r>
      <w:r>
        <w:fldChar w:fldCharType="end"/>
      </w:r>
      <w:r w:rsidRPr="00CC0B14">
        <w:t xml:space="preserve"> (</w:t>
      </w:r>
      <w:r w:rsidRPr="00CC0B14">
        <w:rPr>
          <w:i/>
          <w:iCs/>
        </w:rPr>
        <w:t>Acting as general clearing member</w:t>
      </w:r>
      <w:r w:rsidRPr="00CC0B14">
        <w:t>).</w:t>
      </w:r>
      <w:bookmarkEnd w:id="132"/>
      <w:r w:rsidRPr="00CC0B14">
        <w:t xml:space="preserve"> </w:t>
      </w:r>
    </w:p>
    <w:p w14:paraId="633C18EA" w14:textId="20FC15AF" w:rsidR="007710CE" w:rsidRPr="00CC0B14" w:rsidRDefault="007710CE" w:rsidP="00094771">
      <w:pPr>
        <w:pStyle w:val="Level2"/>
      </w:pPr>
      <w:r>
        <w:rPr>
          <w:b/>
          <w:bCs/>
          <w:i/>
          <w:iCs/>
        </w:rPr>
        <w:t xml:space="preserve">Termination of the </w:t>
      </w:r>
      <w:r w:rsidR="000C1403">
        <w:rPr>
          <w:b/>
          <w:bCs/>
          <w:i/>
          <w:iCs/>
        </w:rPr>
        <w:t>Segregated Assets</w:t>
      </w:r>
      <w:r w:rsidR="00802900">
        <w:rPr>
          <w:b/>
          <w:bCs/>
          <w:i/>
          <w:iCs/>
        </w:rPr>
        <w:t xml:space="preserve"> Arrangement</w:t>
      </w:r>
      <w:r>
        <w:rPr>
          <w:b/>
          <w:bCs/>
          <w:i/>
          <w:iCs/>
        </w:rPr>
        <w:t xml:space="preserve">: </w:t>
      </w:r>
      <w:r>
        <w:t xml:space="preserve">Each Party acknowledges and agrees that neither Party shall exercise its rights under the </w:t>
      </w:r>
      <w:r w:rsidR="00993ACC">
        <w:t>Segregated Asset</w:t>
      </w:r>
      <w:r w:rsidR="00094A99">
        <w:t xml:space="preserve"> Terms</w:t>
      </w:r>
      <w:r>
        <w:t xml:space="preserve"> to terminate </w:t>
      </w:r>
      <w:r w:rsidR="00261243">
        <w:t xml:space="preserve">the </w:t>
      </w:r>
      <w:r w:rsidR="000C1403">
        <w:t>Segregated Assets</w:t>
      </w:r>
      <w:r w:rsidR="00802900">
        <w:t xml:space="preserve"> Arrangement </w:t>
      </w:r>
      <w:r>
        <w:t xml:space="preserve">other than in a manner consistent with </w:t>
      </w:r>
      <w:r w:rsidR="0081668F">
        <w:t>the</w:t>
      </w:r>
      <w:r w:rsidR="00A03771">
        <w:t xml:space="preserve"> </w:t>
      </w:r>
      <w:r>
        <w:t xml:space="preserve">Agreement. </w:t>
      </w:r>
    </w:p>
    <w:p w14:paraId="2A058923" w14:textId="77777777" w:rsidR="00CC0B14" w:rsidRDefault="00CC0B14" w:rsidP="00623726">
      <w:pPr>
        <w:pStyle w:val="Level1"/>
      </w:pPr>
      <w:bookmarkStart w:id="133" w:name="_Ref133406453"/>
      <w:r>
        <w:t>CONSEQUENCES OF VOLUNTARY TERMINATION</w:t>
      </w:r>
      <w:bookmarkEnd w:id="133"/>
    </w:p>
    <w:p w14:paraId="15339BBD" w14:textId="5CC5566E" w:rsidR="00CC0B14" w:rsidRDefault="00CC0B14" w:rsidP="00094771">
      <w:pPr>
        <w:pStyle w:val="Level2"/>
      </w:pPr>
      <w:bookmarkStart w:id="134" w:name="_Ref133407050"/>
      <w:r w:rsidRPr="00CC0B14">
        <w:rPr>
          <w:b/>
          <w:bCs/>
          <w:i/>
          <w:iCs/>
        </w:rPr>
        <w:t>Surviving terms:</w:t>
      </w:r>
      <w:r>
        <w:t xml:space="preserve"> If th</w:t>
      </w:r>
      <w:r w:rsidR="0018190A">
        <w:t>is</w:t>
      </w:r>
      <w:r>
        <w:t xml:space="preserve"> </w:t>
      </w:r>
      <w:r w:rsidR="00F64B6E">
        <w:t xml:space="preserve">Client Clearing </w:t>
      </w:r>
      <w:r>
        <w:t xml:space="preserve">Agreement is terminated in accordance with clause </w:t>
      </w:r>
      <w:r>
        <w:fldChar w:fldCharType="begin" w:fldLock="1"/>
      </w:r>
      <w:r>
        <w:instrText xml:space="preserve"> REF _Ref133406569 \w \h </w:instrText>
      </w:r>
      <w:r>
        <w:fldChar w:fldCharType="separate"/>
      </w:r>
      <w:r w:rsidR="009646BC">
        <w:t>24.1</w:t>
      </w:r>
      <w:r>
        <w:fldChar w:fldCharType="end"/>
      </w:r>
      <w:r>
        <w:t xml:space="preserve"> (</w:t>
      </w:r>
      <w:r w:rsidRPr="00CC0B14">
        <w:rPr>
          <w:i/>
          <w:iCs/>
        </w:rPr>
        <w:t xml:space="preserve">Termination of a Clearing Service and/or this </w:t>
      </w:r>
      <w:r w:rsidR="00F64B6E" w:rsidRPr="00F64B6E">
        <w:rPr>
          <w:i/>
          <w:iCs/>
        </w:rPr>
        <w:t xml:space="preserve">Client Clearing </w:t>
      </w:r>
      <w:r w:rsidRPr="00CC0B14">
        <w:rPr>
          <w:i/>
          <w:iCs/>
        </w:rPr>
        <w:t>Agreement</w:t>
      </w:r>
      <w:r>
        <w:t xml:space="preserve">), outstanding rights and obligations (including those relating to netting and indemnities, those relating to margin, payments and deliveries and those created by the miscellaneous and governing law clauses) will survive the termination of this </w:t>
      </w:r>
      <w:r w:rsidR="003B1880" w:rsidRPr="003B1880">
        <w:t xml:space="preserve">Client Clearing </w:t>
      </w:r>
      <w:r>
        <w:t xml:space="preserve">Agreement. Subject to the exercise of the </w:t>
      </w:r>
      <w:r w:rsidR="0076033E">
        <w:t>Firm’s</w:t>
      </w:r>
      <w:r>
        <w:t xml:space="preserve"> powers under clause </w:t>
      </w:r>
      <w:r>
        <w:fldChar w:fldCharType="begin" w:fldLock="1"/>
      </w:r>
      <w:r>
        <w:instrText xml:space="preserve"> REF _Ref133406689 \w \h </w:instrText>
      </w:r>
      <w:r>
        <w:fldChar w:fldCharType="separate"/>
      </w:r>
      <w:r w:rsidR="009646BC">
        <w:t>25.2</w:t>
      </w:r>
      <w:r>
        <w:fldChar w:fldCharType="end"/>
      </w:r>
      <w:r>
        <w:t xml:space="preserve"> (</w:t>
      </w:r>
      <w:r w:rsidRPr="00CC0B14">
        <w:rPr>
          <w:i/>
          <w:iCs/>
        </w:rPr>
        <w:t>Additional powers on termination of th</w:t>
      </w:r>
      <w:r w:rsidR="0018190A">
        <w:rPr>
          <w:i/>
          <w:iCs/>
        </w:rPr>
        <w:t>is</w:t>
      </w:r>
      <w:r w:rsidRPr="00CC0B14">
        <w:rPr>
          <w:i/>
          <w:iCs/>
        </w:rPr>
        <w:t xml:space="preserve"> </w:t>
      </w:r>
      <w:r w:rsidR="001E6380">
        <w:rPr>
          <w:i/>
          <w:iCs/>
        </w:rPr>
        <w:t xml:space="preserve">Client Clearing </w:t>
      </w:r>
      <w:r w:rsidRPr="00CC0B14">
        <w:rPr>
          <w:i/>
          <w:iCs/>
        </w:rPr>
        <w:t>Agreement</w:t>
      </w:r>
      <w:r>
        <w:t>), clause</w:t>
      </w:r>
      <w:r w:rsidR="00C92F81">
        <w:t xml:space="preserve"> </w:t>
      </w:r>
      <w:r w:rsidR="00C92F81">
        <w:fldChar w:fldCharType="begin" w:fldLock="1"/>
      </w:r>
      <w:r w:rsidR="00C92F81">
        <w:instrText xml:space="preserve"> REF _Ref151972392 \r \h </w:instrText>
      </w:r>
      <w:r w:rsidR="00C92F81">
        <w:fldChar w:fldCharType="separate"/>
      </w:r>
      <w:r w:rsidR="009646BC">
        <w:t>25.4</w:t>
      </w:r>
      <w:r w:rsidR="00C92F81">
        <w:fldChar w:fldCharType="end"/>
      </w:r>
      <w:r w:rsidR="00C92F81">
        <w:t xml:space="preserve"> </w:t>
      </w:r>
      <w:r w:rsidRPr="006E3B1F">
        <w:t>(</w:t>
      </w:r>
      <w:r w:rsidRPr="006E3B1F">
        <w:rPr>
          <w:i/>
          <w:iCs/>
        </w:rPr>
        <w:t>Additional powers on termination of a Clearing Service</w:t>
      </w:r>
      <w:r w:rsidRPr="004C0F61">
        <w:t>)</w:t>
      </w:r>
      <w:r w:rsidRPr="00173C9C">
        <w:t xml:space="preserve"> and clause </w:t>
      </w:r>
      <w:r w:rsidR="00173C9C" w:rsidRPr="00173C9C">
        <w:fldChar w:fldCharType="begin" w:fldLock="1"/>
      </w:r>
      <w:r w:rsidR="00173C9C" w:rsidRPr="00173C9C">
        <w:instrText xml:space="preserve"> REF _Ref133443105 \n \h </w:instrText>
      </w:r>
      <w:r w:rsidR="00173C9C">
        <w:instrText xml:space="preserve"> \* MERGEFORMAT </w:instrText>
      </w:r>
      <w:r w:rsidR="00173C9C" w:rsidRPr="00173C9C">
        <w:fldChar w:fldCharType="separate"/>
      </w:r>
      <w:r w:rsidR="009646BC">
        <w:t>25.5</w:t>
      </w:r>
      <w:r w:rsidR="00173C9C" w:rsidRPr="00173C9C">
        <w:fldChar w:fldCharType="end"/>
      </w:r>
      <w:r w:rsidRPr="00173C9C">
        <w:t xml:space="preserve"> (</w:t>
      </w:r>
      <w:r w:rsidRPr="004C0F61">
        <w:rPr>
          <w:i/>
          <w:iCs/>
        </w:rPr>
        <w:t>Active management</w:t>
      </w:r>
      <w:r w:rsidRPr="00173C9C">
        <w:t>), the outstanding rights will continue to be governed by its provisions until all obligations have been fully performe</w:t>
      </w:r>
      <w:bookmarkEnd w:id="134"/>
      <w:r w:rsidR="00B00ED2">
        <w:t xml:space="preserve">d. </w:t>
      </w:r>
    </w:p>
    <w:p w14:paraId="77EA6218" w14:textId="3F6D9271" w:rsidR="00CC0B14" w:rsidRDefault="00CC0B14" w:rsidP="00094771">
      <w:pPr>
        <w:pStyle w:val="Level2"/>
      </w:pPr>
      <w:bookmarkStart w:id="135" w:name="_Ref133406689"/>
      <w:r w:rsidRPr="006E3B1F">
        <w:rPr>
          <w:b/>
          <w:bCs/>
          <w:i/>
          <w:iCs/>
        </w:rPr>
        <w:t>Additional powers on termination of th</w:t>
      </w:r>
      <w:r w:rsidR="0018190A">
        <w:rPr>
          <w:b/>
          <w:bCs/>
          <w:i/>
          <w:iCs/>
        </w:rPr>
        <w:t>is</w:t>
      </w:r>
      <w:r w:rsidRPr="006E3B1F">
        <w:rPr>
          <w:b/>
          <w:bCs/>
          <w:i/>
          <w:iCs/>
        </w:rPr>
        <w:t xml:space="preserve"> </w:t>
      </w:r>
      <w:r w:rsidR="003B1880" w:rsidRPr="003B1880">
        <w:rPr>
          <w:b/>
          <w:bCs/>
          <w:i/>
          <w:iCs/>
        </w:rPr>
        <w:t xml:space="preserve">Client Clearing </w:t>
      </w:r>
      <w:r w:rsidRPr="006E3B1F">
        <w:rPr>
          <w:b/>
          <w:bCs/>
          <w:i/>
          <w:iCs/>
        </w:rPr>
        <w:t>Agreement</w:t>
      </w:r>
      <w:r w:rsidRPr="001A6624">
        <w:rPr>
          <w:b/>
          <w:bCs/>
          <w:i/>
          <w:iCs/>
        </w:rPr>
        <w:t>:</w:t>
      </w:r>
      <w:r>
        <w:t xml:space="preserve"> If this </w:t>
      </w:r>
      <w:r w:rsidR="003B1880" w:rsidRPr="003B1880">
        <w:t xml:space="preserve">Client Clearing </w:t>
      </w:r>
      <w:r>
        <w:t xml:space="preserve">Agreement terminates in accordance with clause </w:t>
      </w:r>
      <w:r w:rsidR="006E3B1F">
        <w:fldChar w:fldCharType="begin" w:fldLock="1"/>
      </w:r>
      <w:r w:rsidR="006E3B1F">
        <w:instrText xml:space="preserve"> REF _Ref133406569 \w \h </w:instrText>
      </w:r>
      <w:r w:rsidR="006E3B1F">
        <w:fldChar w:fldCharType="separate"/>
      </w:r>
      <w:r w:rsidR="009646BC">
        <w:t>24.1</w:t>
      </w:r>
      <w:r w:rsidR="006E3B1F">
        <w:fldChar w:fldCharType="end"/>
      </w:r>
      <w:r w:rsidR="006E3B1F">
        <w:t xml:space="preserve"> </w:t>
      </w:r>
      <w:r>
        <w:t>(</w:t>
      </w:r>
      <w:r w:rsidRPr="006E3B1F">
        <w:rPr>
          <w:i/>
          <w:iCs/>
        </w:rPr>
        <w:t>Termination of a Clearing Service and/or this</w:t>
      </w:r>
      <w:r w:rsidR="003B1880" w:rsidRPr="003B1880">
        <w:t xml:space="preserve"> </w:t>
      </w:r>
      <w:r w:rsidR="003B1880" w:rsidRPr="003B1880">
        <w:rPr>
          <w:i/>
          <w:iCs/>
        </w:rPr>
        <w:t>Client Clearing</w:t>
      </w:r>
      <w:r w:rsidRPr="006E3B1F">
        <w:rPr>
          <w:i/>
          <w:iCs/>
        </w:rPr>
        <w:t xml:space="preserve"> Agreement</w:t>
      </w:r>
      <w:r>
        <w:t xml:space="preserve">), the Firm and, at the </w:t>
      </w:r>
      <w:r w:rsidR="0076033E">
        <w:t>Firm’s</w:t>
      </w:r>
      <w:r>
        <w:t xml:space="preserve"> discretion, its Associates, will be entitled without prior notice to the Client</w:t>
      </w:r>
      <w:r w:rsidR="00397504">
        <w:t xml:space="preserve">, other than in respect of </w:t>
      </w:r>
      <w:r w:rsidR="00F64E5F">
        <w:t>Segregated</w:t>
      </w:r>
      <w:r w:rsidR="00094A99">
        <w:t xml:space="preserve"> Assets</w:t>
      </w:r>
      <w:r w:rsidR="00397504">
        <w:rPr>
          <w:rStyle w:val="FootnoteReference"/>
        </w:rPr>
        <w:footnoteReference w:id="20"/>
      </w:r>
      <w:r>
        <w:t>:</w:t>
      </w:r>
      <w:bookmarkEnd w:id="135"/>
    </w:p>
    <w:p w14:paraId="75C23B03" w14:textId="3DA4DBA4" w:rsidR="00CC0B14" w:rsidRDefault="00CC0B14" w:rsidP="00623726">
      <w:pPr>
        <w:pStyle w:val="Level3"/>
      </w:pPr>
      <w:r>
        <w:t xml:space="preserve">instead of returning to the Client, or accounting for, investments equivalent to those credited to the </w:t>
      </w:r>
      <w:r w:rsidR="0076033E">
        <w:t>Client’s</w:t>
      </w:r>
      <w:r>
        <w:t xml:space="preserve"> account, to pay to the Client the fair market value of those investments at the time the Firm exercises this right;</w:t>
      </w:r>
    </w:p>
    <w:p w14:paraId="375ECB84" w14:textId="4A6BB8EB" w:rsidR="00CC0B14" w:rsidRDefault="00CC0B14" w:rsidP="00623726">
      <w:pPr>
        <w:pStyle w:val="Level3"/>
      </w:pPr>
      <w:r>
        <w:t xml:space="preserve">to sell any of the </w:t>
      </w:r>
      <w:r w:rsidR="0076033E">
        <w:t>Client’s</w:t>
      </w:r>
      <w:r>
        <w:t xml:space="preserve"> investments that are in the </w:t>
      </w:r>
      <w:r w:rsidR="0076033E">
        <w:t>Firm’s</w:t>
      </w:r>
      <w:r>
        <w:t xml:space="preserve"> possession (or in the possession of any nominee or third party) as the Firm may select and upon the terms as the Firm may think fit (without being responsible for any Loss or diminution in price) in order to realise funds sufficient to cover any amount due from the Client; </w:t>
      </w:r>
    </w:p>
    <w:p w14:paraId="4AB2504F" w14:textId="54563A63" w:rsidR="00CC0B14" w:rsidRDefault="00CC0B14" w:rsidP="00623726">
      <w:pPr>
        <w:pStyle w:val="Level3"/>
      </w:pPr>
      <w:bookmarkStart w:id="136" w:name="_Ref133407113"/>
      <w:r>
        <w:lastRenderedPageBreak/>
        <w:t xml:space="preserve">to close out, replace or reverse any Transaction, buy, sell, borrow or lend or enter into any other transaction (or combination of transactions) or contract, open any new positions, or take, or refrain from taking, any other action in the </w:t>
      </w:r>
      <w:r w:rsidR="0076033E">
        <w:t>Firm’s</w:t>
      </w:r>
      <w:r>
        <w:t xml:space="preserve"> discretion to cover, reduce, hedge, manage or eliminate its risk or Loss under or in respect of any of the </w:t>
      </w:r>
      <w:r w:rsidR="0076033E">
        <w:t>Client’s</w:t>
      </w:r>
      <w:r>
        <w:t xml:space="preserve"> contracts, positions or commitments;</w:t>
      </w:r>
      <w:bookmarkEnd w:id="136"/>
      <w:r>
        <w:t xml:space="preserve"> </w:t>
      </w:r>
    </w:p>
    <w:p w14:paraId="35BFB9DF" w14:textId="5C5A3012" w:rsidR="00CC0B14" w:rsidRDefault="00CC0B14" w:rsidP="00623726">
      <w:pPr>
        <w:pStyle w:val="Level3"/>
      </w:pPr>
      <w:bookmarkStart w:id="137" w:name="_Ref133407114"/>
      <w:r>
        <w:t>to treat any (or all) instructions received from the Client which have not been effected by the Firm as having been repudiated; and/or</w:t>
      </w:r>
      <w:bookmarkEnd w:id="137"/>
    </w:p>
    <w:p w14:paraId="174A6B51" w14:textId="7ED8E265" w:rsidR="00CC0B14" w:rsidRDefault="00CC0B14" w:rsidP="00623726">
      <w:pPr>
        <w:pStyle w:val="Level3"/>
      </w:pPr>
      <w:bookmarkStart w:id="138" w:name="_Ref133407115"/>
      <w:r>
        <w:t>to transfer any outstanding Transactions to another clearing member</w:t>
      </w:r>
      <w:r w:rsidR="006E3B1F">
        <w:t>.</w:t>
      </w:r>
      <w:bookmarkEnd w:id="138"/>
      <w:r w:rsidR="006E3B1F">
        <w:t xml:space="preserve"> </w:t>
      </w:r>
    </w:p>
    <w:p w14:paraId="6BECA9E0" w14:textId="32F8DA09" w:rsidR="00607F2B" w:rsidRPr="008163F1" w:rsidRDefault="00607F2B" w:rsidP="00094771">
      <w:pPr>
        <w:pStyle w:val="Level2"/>
      </w:pPr>
      <w:bookmarkStart w:id="139" w:name="_Ref133407038"/>
      <w:r>
        <w:rPr>
          <w:b/>
          <w:bCs/>
          <w:i/>
          <w:iCs/>
        </w:rPr>
        <w:t xml:space="preserve">Consequences of termination of Transactions: </w:t>
      </w:r>
      <w:r w:rsidR="00952417">
        <w:t>The Parties acknowledge and agree that a</w:t>
      </w:r>
      <w:r>
        <w:t xml:space="preserve">ny Transactions terminated pursuant to clause </w:t>
      </w:r>
      <w:r>
        <w:fldChar w:fldCharType="begin" w:fldLock="1"/>
      </w:r>
      <w:r>
        <w:instrText xml:space="preserve"> REF _Ref133406689 \r \h </w:instrText>
      </w:r>
      <w:r>
        <w:fldChar w:fldCharType="separate"/>
      </w:r>
      <w:r w:rsidR="009646BC">
        <w:t>25.2</w:t>
      </w:r>
      <w:r>
        <w:fldChar w:fldCharType="end"/>
      </w:r>
      <w:r>
        <w:t xml:space="preserve"> (</w:t>
      </w:r>
      <w:r>
        <w:rPr>
          <w:i/>
          <w:iCs/>
        </w:rPr>
        <w:t xml:space="preserve">Additional powers on termination of this </w:t>
      </w:r>
      <w:r w:rsidR="003B1880" w:rsidRPr="003B1880">
        <w:rPr>
          <w:i/>
          <w:iCs/>
        </w:rPr>
        <w:t xml:space="preserve">Client Clearing </w:t>
      </w:r>
      <w:r>
        <w:rPr>
          <w:i/>
          <w:iCs/>
        </w:rPr>
        <w:t>Agreement</w:t>
      </w:r>
      <w:r>
        <w:t xml:space="preserve">) </w:t>
      </w:r>
      <w:r w:rsidRPr="0077408C">
        <w:t>will</w:t>
      </w:r>
      <w:r>
        <w:t xml:space="preserve"> </w:t>
      </w:r>
      <w:r w:rsidR="00006CCE">
        <w:t>no longer</w:t>
      </w:r>
      <w:r w:rsidR="00AF275F">
        <w:t xml:space="preserve"> be subject to the </w:t>
      </w:r>
      <w:r w:rsidR="00993ACC">
        <w:t>Segregated Asset</w:t>
      </w:r>
      <w:r w:rsidR="00AF275F">
        <w:t xml:space="preserve"> Terms </w:t>
      </w:r>
      <w:r w:rsidR="00006CCE">
        <w:t xml:space="preserve">as provided in </w:t>
      </w:r>
      <w:r>
        <w:t xml:space="preserve">clause </w:t>
      </w:r>
      <w:r>
        <w:fldChar w:fldCharType="begin" w:fldLock="1"/>
      </w:r>
      <w:r>
        <w:instrText xml:space="preserve"> REF _Ref134561083 \r \h </w:instrText>
      </w:r>
      <w:r>
        <w:fldChar w:fldCharType="separate"/>
      </w:r>
      <w:r w:rsidR="009646BC">
        <w:t>18</w:t>
      </w:r>
      <w:r>
        <w:fldChar w:fldCharType="end"/>
      </w:r>
      <w:r>
        <w:t xml:space="preserve"> (</w:t>
      </w:r>
      <w:r w:rsidRPr="00A541BD">
        <w:rPr>
          <w:i/>
          <w:iCs/>
        </w:rPr>
        <w:t>Effect of termination and transfers of Transactions</w:t>
      </w:r>
      <w:r>
        <w:t>).</w:t>
      </w:r>
    </w:p>
    <w:p w14:paraId="1D03CAF5" w14:textId="0C95AEF3" w:rsidR="00CC0B14" w:rsidRDefault="00CC0B14" w:rsidP="00094771">
      <w:pPr>
        <w:pStyle w:val="Level2"/>
      </w:pPr>
      <w:bookmarkStart w:id="140" w:name="_Ref151972392"/>
      <w:r w:rsidRPr="006E3B1F">
        <w:rPr>
          <w:b/>
          <w:bCs/>
          <w:i/>
          <w:iCs/>
        </w:rPr>
        <w:t>Additional powers on termination of a Clearing Service:</w:t>
      </w:r>
      <w:r>
        <w:t xml:space="preserve"> If a Clearing Service terminates in accordance with clause </w:t>
      </w:r>
      <w:r w:rsidR="00B00ED2">
        <w:fldChar w:fldCharType="begin" w:fldLock="1"/>
      </w:r>
      <w:r w:rsidR="00B00ED2">
        <w:instrText xml:space="preserve"> REF _Ref133406569 \r \h </w:instrText>
      </w:r>
      <w:r w:rsidR="00B00ED2">
        <w:fldChar w:fldCharType="separate"/>
      </w:r>
      <w:r w:rsidR="009646BC">
        <w:t>24.1</w:t>
      </w:r>
      <w:r w:rsidR="00B00ED2">
        <w:fldChar w:fldCharType="end"/>
      </w:r>
      <w:r>
        <w:t xml:space="preserve"> (</w:t>
      </w:r>
      <w:r w:rsidRPr="006E3B1F">
        <w:rPr>
          <w:i/>
          <w:iCs/>
        </w:rPr>
        <w:t xml:space="preserve">Termination of a Clearing Service and/or this </w:t>
      </w:r>
      <w:r w:rsidR="000908FF" w:rsidRPr="000908FF">
        <w:rPr>
          <w:i/>
          <w:iCs/>
        </w:rPr>
        <w:t xml:space="preserve">Client Clearing </w:t>
      </w:r>
      <w:r w:rsidRPr="006E3B1F">
        <w:rPr>
          <w:i/>
          <w:iCs/>
        </w:rPr>
        <w:t>Agreement</w:t>
      </w:r>
      <w:r>
        <w:t xml:space="preserve">), the Firm and, at the </w:t>
      </w:r>
      <w:r w:rsidR="0076033E">
        <w:t>Firm’s</w:t>
      </w:r>
      <w:r>
        <w:t xml:space="preserve"> discretion, its Associates, will be entitled in respect of any Transactions related to such terminated Clearing Service without prior notice to the Client to exercise the rights set out in </w:t>
      </w:r>
      <w:r w:rsidR="006E3B1F">
        <w:t xml:space="preserve">clause </w:t>
      </w:r>
      <w:r w:rsidR="006E3B1F">
        <w:fldChar w:fldCharType="begin" w:fldLock="1"/>
      </w:r>
      <w:r w:rsidR="006E3B1F">
        <w:instrText xml:space="preserve"> REF _Ref133407113 \w \h </w:instrText>
      </w:r>
      <w:r w:rsidR="006E3B1F">
        <w:fldChar w:fldCharType="separate"/>
      </w:r>
      <w:r w:rsidR="009646BC">
        <w:t>25.2.3</w:t>
      </w:r>
      <w:r w:rsidR="006E3B1F">
        <w:fldChar w:fldCharType="end"/>
      </w:r>
      <w:r w:rsidR="006E3B1F">
        <w:t xml:space="preserve">, </w:t>
      </w:r>
      <w:r w:rsidR="006E3B1F">
        <w:fldChar w:fldCharType="begin" w:fldLock="1"/>
      </w:r>
      <w:r w:rsidR="006E3B1F">
        <w:instrText xml:space="preserve"> REF _Ref133407114 \w \h </w:instrText>
      </w:r>
      <w:r w:rsidR="006E3B1F">
        <w:fldChar w:fldCharType="separate"/>
      </w:r>
      <w:r w:rsidR="009646BC">
        <w:t>25.2.4</w:t>
      </w:r>
      <w:r w:rsidR="006E3B1F">
        <w:fldChar w:fldCharType="end"/>
      </w:r>
      <w:r w:rsidR="006E3B1F">
        <w:t xml:space="preserve"> or </w:t>
      </w:r>
      <w:r w:rsidR="006E3B1F">
        <w:fldChar w:fldCharType="begin" w:fldLock="1"/>
      </w:r>
      <w:r w:rsidR="006E3B1F">
        <w:instrText xml:space="preserve"> REF _Ref133407115 \w \h </w:instrText>
      </w:r>
      <w:r w:rsidR="006E3B1F">
        <w:fldChar w:fldCharType="separate"/>
      </w:r>
      <w:r w:rsidR="009646BC">
        <w:t>25.2.5</w:t>
      </w:r>
      <w:r w:rsidR="006E3B1F">
        <w:fldChar w:fldCharType="end"/>
      </w:r>
      <w:r>
        <w:t xml:space="preserve"> in connection with the Transactions associated to the terminated Clearing Service.</w:t>
      </w:r>
      <w:bookmarkEnd w:id="139"/>
      <w:bookmarkEnd w:id="140"/>
      <w:r w:rsidR="00607F2B">
        <w:t xml:space="preserve"> </w:t>
      </w:r>
    </w:p>
    <w:p w14:paraId="358DEC40" w14:textId="5FD1029B" w:rsidR="00CC0B14" w:rsidRDefault="00CC0B14" w:rsidP="00094771">
      <w:pPr>
        <w:pStyle w:val="Level2"/>
      </w:pPr>
      <w:bookmarkStart w:id="141" w:name="_Ref133443105"/>
      <w:r w:rsidRPr="006E3B1F">
        <w:rPr>
          <w:b/>
          <w:bCs/>
          <w:i/>
          <w:iCs/>
        </w:rPr>
        <w:t>Active management:</w:t>
      </w:r>
      <w:r>
        <w:t xml:space="preserve"> If the Firm exercises any of its powers under clause </w:t>
      </w:r>
      <w:r w:rsidR="006E3B1F">
        <w:fldChar w:fldCharType="begin" w:fldLock="1"/>
      </w:r>
      <w:r w:rsidR="006E3B1F">
        <w:instrText xml:space="preserve"> REF _Ref133406689 \w \h </w:instrText>
      </w:r>
      <w:r w:rsidR="006E3B1F">
        <w:fldChar w:fldCharType="separate"/>
      </w:r>
      <w:r w:rsidR="009646BC">
        <w:t>25.2</w:t>
      </w:r>
      <w:r w:rsidR="006E3B1F">
        <w:fldChar w:fldCharType="end"/>
      </w:r>
      <w:r>
        <w:t xml:space="preserve"> (</w:t>
      </w:r>
      <w:r w:rsidRPr="006E3B1F">
        <w:rPr>
          <w:i/>
          <w:iCs/>
        </w:rPr>
        <w:t>Additional powers on termination of th</w:t>
      </w:r>
      <w:r w:rsidR="0018190A">
        <w:rPr>
          <w:i/>
          <w:iCs/>
        </w:rPr>
        <w:t>is</w:t>
      </w:r>
      <w:r w:rsidRPr="006E3B1F">
        <w:rPr>
          <w:i/>
          <w:iCs/>
        </w:rPr>
        <w:t xml:space="preserve"> </w:t>
      </w:r>
      <w:r w:rsidR="000908FF" w:rsidRPr="000908FF">
        <w:rPr>
          <w:i/>
          <w:iCs/>
        </w:rPr>
        <w:t xml:space="preserve">Client Clearing </w:t>
      </w:r>
      <w:r w:rsidRPr="006E3B1F">
        <w:rPr>
          <w:i/>
          <w:iCs/>
        </w:rPr>
        <w:t>Agreement</w:t>
      </w:r>
      <w:r>
        <w:t>) or clause</w:t>
      </w:r>
      <w:r w:rsidR="00176ADA">
        <w:t xml:space="preserve"> </w:t>
      </w:r>
      <w:r w:rsidR="00176ADA">
        <w:fldChar w:fldCharType="begin" w:fldLock="1"/>
      </w:r>
      <w:r w:rsidR="00176ADA">
        <w:instrText xml:space="preserve"> REF _Ref151972392 \r \h </w:instrText>
      </w:r>
      <w:r w:rsidR="00176ADA">
        <w:fldChar w:fldCharType="separate"/>
      </w:r>
      <w:r w:rsidR="009646BC">
        <w:t>25.4</w:t>
      </w:r>
      <w:r w:rsidR="00176ADA">
        <w:fldChar w:fldCharType="end"/>
      </w:r>
      <w:r w:rsidR="00176ADA">
        <w:t xml:space="preserve"> </w:t>
      </w:r>
      <w:r>
        <w:t>(</w:t>
      </w:r>
      <w:r w:rsidRPr="006E3B1F">
        <w:rPr>
          <w:i/>
          <w:iCs/>
        </w:rPr>
        <w:t>Additional powers on termination of a Clearing Service</w:t>
      </w:r>
      <w:r>
        <w:t>) to terminate or close out any Transactions, the Firm shall be entitled to determine the resultant amount (if any) owed by the Firm or the Client in relation to those Transactions</w:t>
      </w:r>
      <w:r w:rsidR="006E3B1F">
        <w:t xml:space="preserve"> in accordance with clause </w:t>
      </w:r>
      <w:r w:rsidR="00940DE1">
        <w:fldChar w:fldCharType="begin" w:fldLock="1"/>
      </w:r>
      <w:r w:rsidR="00940DE1">
        <w:instrText xml:space="preserve"> REF _Ref139990993 \r \h </w:instrText>
      </w:r>
      <w:r w:rsidR="00940DE1">
        <w:fldChar w:fldCharType="separate"/>
      </w:r>
      <w:r w:rsidR="009646BC">
        <w:t>11.2</w:t>
      </w:r>
      <w:r w:rsidR="00940DE1">
        <w:fldChar w:fldCharType="end"/>
      </w:r>
      <w:r w:rsidR="00C724CD">
        <w:t xml:space="preserve"> </w:t>
      </w:r>
      <w:r w:rsidR="006E3B1F">
        <w:t>(</w:t>
      </w:r>
      <w:r w:rsidR="00940DE1">
        <w:rPr>
          <w:i/>
          <w:iCs/>
        </w:rPr>
        <w:t xml:space="preserve">Consequences of an </w:t>
      </w:r>
      <w:r w:rsidR="00C724CD">
        <w:rPr>
          <w:i/>
          <w:iCs/>
        </w:rPr>
        <w:t>Event of Default</w:t>
      </w:r>
      <w:r w:rsidR="006E3B1F" w:rsidRPr="004C0F61">
        <w:t>)</w:t>
      </w:r>
      <w:r w:rsidR="00C724CD">
        <w:rPr>
          <w:i/>
          <w:iCs/>
        </w:rPr>
        <w:t xml:space="preserve"> </w:t>
      </w:r>
      <w:r w:rsidR="00C724CD">
        <w:t>as if an Event of Default had occurred in respect of the Client</w:t>
      </w:r>
      <w:r w:rsidR="006E3B1F">
        <w:rPr>
          <w:i/>
          <w:iCs/>
        </w:rPr>
        <w:t>.</w:t>
      </w:r>
      <w:bookmarkEnd w:id="141"/>
      <w:r w:rsidR="006E3B1F">
        <w:rPr>
          <w:i/>
          <w:iCs/>
        </w:rPr>
        <w:t xml:space="preserve"> </w:t>
      </w:r>
      <w:r w:rsidR="00B00ED2" w:rsidRPr="00B00ED2">
        <w:t xml:space="preserve">The Client agrees that, for these purposes, the Firm is entitled to take into account any Losses realised in closing out any Transactions or settling or concluding outstanding obligations incurred by the Firm on the </w:t>
      </w:r>
      <w:r w:rsidR="0076033E" w:rsidRPr="00B00ED2">
        <w:t>Cli</w:t>
      </w:r>
      <w:r w:rsidR="0076033E">
        <w:t>e</w:t>
      </w:r>
      <w:r w:rsidR="0076033E" w:rsidRPr="00B00ED2">
        <w:t>nt’s</w:t>
      </w:r>
      <w:r w:rsidR="00B00ED2" w:rsidRPr="00B00ED2">
        <w:t xml:space="preserve"> behalf.</w:t>
      </w:r>
    </w:p>
    <w:p w14:paraId="20AD2586" w14:textId="7E442A18" w:rsidR="00CC0B14" w:rsidRDefault="00CC0B14" w:rsidP="006E3B1F">
      <w:pPr>
        <w:pStyle w:val="Level2"/>
        <w:numPr>
          <w:ilvl w:val="0"/>
          <w:numId w:val="0"/>
        </w:numPr>
        <w:ind w:left="680"/>
      </w:pPr>
      <w:r>
        <w:t xml:space="preserve">[The </w:t>
      </w:r>
      <w:r w:rsidR="0076033E">
        <w:t>Firm’s</w:t>
      </w:r>
      <w:r>
        <w:t xml:space="preserve"> rights under this clause</w:t>
      </w:r>
      <w:r w:rsidR="00452B2A">
        <w:t xml:space="preserve"> </w:t>
      </w:r>
      <w:r w:rsidR="00452B2A">
        <w:fldChar w:fldCharType="begin" w:fldLock="1"/>
      </w:r>
      <w:r w:rsidR="00452B2A">
        <w:instrText xml:space="preserve"> REF _Ref133406453 \r \h </w:instrText>
      </w:r>
      <w:r w:rsidR="00452B2A">
        <w:fldChar w:fldCharType="separate"/>
      </w:r>
      <w:r w:rsidR="009646BC">
        <w:t>25</w:t>
      </w:r>
      <w:r w:rsidR="00452B2A">
        <w:fldChar w:fldCharType="end"/>
      </w:r>
      <w:r>
        <w:t xml:space="preserve"> apply separately to each Transaction and the Firm does not need to account for a single amount payable by the Firm or the Client in respect of all Transactions. Any account for payment in relation to closed-out or terminated Transactions will not prejudice the </w:t>
      </w:r>
      <w:r w:rsidR="0076033E">
        <w:t>Firm’s</w:t>
      </w:r>
      <w:r>
        <w:t xml:space="preserve"> surviving rights in relation to Transactions which have not been closed out or terminated (including the </w:t>
      </w:r>
      <w:r w:rsidR="0076033E">
        <w:t>Firm’s</w:t>
      </w:r>
      <w:r>
        <w:t xml:space="preserve"> right to charge amounts under </w:t>
      </w:r>
      <w:r w:rsidRPr="00173C9C">
        <w:t xml:space="preserve">clause </w:t>
      </w:r>
      <w:r w:rsidR="00173C9C" w:rsidRPr="00173C9C">
        <w:fldChar w:fldCharType="begin" w:fldLock="1"/>
      </w:r>
      <w:r w:rsidR="00173C9C" w:rsidRPr="00173C9C">
        <w:instrText xml:space="preserve"> REF _Ref133443123 \n \h </w:instrText>
      </w:r>
      <w:r w:rsidR="00173C9C">
        <w:instrText xml:space="preserve"> \* MERGEFORMAT </w:instrText>
      </w:r>
      <w:r w:rsidR="00173C9C" w:rsidRPr="00173C9C">
        <w:fldChar w:fldCharType="separate"/>
      </w:r>
      <w:r w:rsidR="009646BC">
        <w:t>26.4</w:t>
      </w:r>
      <w:r w:rsidR="00173C9C" w:rsidRPr="00173C9C">
        <w:fldChar w:fldCharType="end"/>
      </w:r>
      <w:r w:rsidRPr="00173C9C">
        <w:t xml:space="preserve"> (</w:t>
      </w:r>
      <w:r w:rsidRPr="001A6624">
        <w:rPr>
          <w:i/>
          <w:iCs/>
        </w:rPr>
        <w:t>Charges</w:t>
      </w:r>
      <w:r w:rsidRPr="00173C9C">
        <w:t>), to</w:t>
      </w:r>
      <w:r>
        <w:t xml:space="preserve"> demand amounts under applicable indemnities</w:t>
      </w:r>
      <w:r w:rsidR="006E3B1F">
        <w:t>,</w:t>
      </w:r>
      <w:r w:rsidR="00885C20">
        <w:t xml:space="preserve"> to demand payments and deliveries due in respect of those Transactions pursuant to clause </w:t>
      </w:r>
      <w:r w:rsidR="00885C20">
        <w:fldChar w:fldCharType="begin" w:fldLock="1"/>
      </w:r>
      <w:r w:rsidR="00885C20">
        <w:instrText xml:space="preserve"> REF _Ref151712019 \r \h </w:instrText>
      </w:r>
      <w:r w:rsidR="00885C20">
        <w:fldChar w:fldCharType="separate"/>
      </w:r>
      <w:r w:rsidR="009646BC">
        <w:t>6.1</w:t>
      </w:r>
      <w:r w:rsidR="00885C20">
        <w:fldChar w:fldCharType="end"/>
      </w:r>
      <w:r w:rsidR="00885C20">
        <w:t xml:space="preserve"> (</w:t>
      </w:r>
      <w:r w:rsidR="00885C20">
        <w:rPr>
          <w:i/>
          <w:iCs/>
        </w:rPr>
        <w:t>Performance</w:t>
      </w:r>
      <w:r w:rsidR="00B872B3">
        <w:rPr>
          <w:i/>
          <w:iCs/>
        </w:rPr>
        <w:t xml:space="preserve"> and</w:t>
      </w:r>
      <w:r w:rsidR="009636BB">
        <w:rPr>
          <w:i/>
          <w:iCs/>
        </w:rPr>
        <w:t xml:space="preserve"> </w:t>
      </w:r>
      <w:r w:rsidR="00885C20">
        <w:rPr>
          <w:i/>
          <w:iCs/>
        </w:rPr>
        <w:t>settlement</w:t>
      </w:r>
      <w:r w:rsidR="00885C20">
        <w:t>)</w:t>
      </w:r>
      <w:r w:rsidR="006E3B1F">
        <w:t xml:space="preserve"> </w:t>
      </w:r>
      <w:r w:rsidRPr="006E3B1F">
        <w:t>and</w:t>
      </w:r>
      <w:r>
        <w:t xml:space="preserve"> to make margin calls in respect of those Transactions).]</w:t>
      </w:r>
    </w:p>
    <w:p w14:paraId="3E81AF29" w14:textId="30D03E31" w:rsidR="00CC0B14" w:rsidRDefault="00CC0B14" w:rsidP="00094771">
      <w:pPr>
        <w:pStyle w:val="Level2"/>
      </w:pPr>
      <w:r w:rsidRPr="006E3B1F">
        <w:rPr>
          <w:b/>
          <w:bCs/>
          <w:i/>
          <w:iCs/>
        </w:rPr>
        <w:t>Right of Retention:</w:t>
      </w:r>
      <w:r>
        <w:t xml:space="preserve"> If this </w:t>
      </w:r>
      <w:r w:rsidR="000908FF" w:rsidRPr="000908FF">
        <w:t xml:space="preserve">Client Clearing </w:t>
      </w:r>
      <w:r>
        <w:t xml:space="preserve">Agreement terminates in accordance with clause </w:t>
      </w:r>
      <w:r w:rsidR="006E3B1F">
        <w:fldChar w:fldCharType="begin" w:fldLock="1"/>
      </w:r>
      <w:r w:rsidR="006E3B1F">
        <w:instrText xml:space="preserve"> REF _Ref133406569 \w \h </w:instrText>
      </w:r>
      <w:r w:rsidR="006E3B1F">
        <w:fldChar w:fldCharType="separate"/>
      </w:r>
      <w:r w:rsidR="009646BC">
        <w:t>24.1</w:t>
      </w:r>
      <w:r w:rsidR="006E3B1F">
        <w:fldChar w:fldCharType="end"/>
      </w:r>
      <w:r w:rsidR="00173C9C">
        <w:t xml:space="preserve"> </w:t>
      </w:r>
      <w:r>
        <w:t>(</w:t>
      </w:r>
      <w:r w:rsidRPr="006E3B1F">
        <w:rPr>
          <w:i/>
          <w:iCs/>
        </w:rPr>
        <w:t xml:space="preserve">Termination of a Clearing Service and/or this </w:t>
      </w:r>
      <w:r w:rsidR="000908FF" w:rsidRPr="000908FF">
        <w:rPr>
          <w:i/>
          <w:iCs/>
        </w:rPr>
        <w:t xml:space="preserve">Client Clearing </w:t>
      </w:r>
      <w:r w:rsidRPr="006E3B1F">
        <w:rPr>
          <w:i/>
          <w:iCs/>
        </w:rPr>
        <w:t>Agreement</w:t>
      </w:r>
      <w:r>
        <w:t xml:space="preserve">), the Firm will not be obliged to make any payment or delivery scheduled to be made by it </w:t>
      </w:r>
      <w:r w:rsidR="006E3B1F">
        <w:t xml:space="preserve">in respect of a </w:t>
      </w:r>
      <w:r>
        <w:t xml:space="preserve">Transaction or to repay cash or return any </w:t>
      </w:r>
      <w:r w:rsidR="00DC6A69">
        <w:t xml:space="preserve">Title Transfer Assets </w:t>
      </w:r>
      <w:r>
        <w:t>or perform any other obligation under th</w:t>
      </w:r>
      <w:r w:rsidR="00E00101">
        <w:t>e</w:t>
      </w:r>
      <w:r>
        <w:t xml:space="preserve"> Agreement to the extent that the Firm determines that margin may be required to be posted under any relevant Rules or to the extent that the Client owes, or may owe, obligations to the Firm.</w:t>
      </w:r>
    </w:p>
    <w:p w14:paraId="505DCF2B" w14:textId="2ED70DC0" w:rsidR="00E55F21" w:rsidRDefault="00E55F21" w:rsidP="00623726">
      <w:pPr>
        <w:pStyle w:val="Level1"/>
      </w:pPr>
      <w:r>
        <w:lastRenderedPageBreak/>
        <w:t>PAYMENTS</w:t>
      </w:r>
      <w:r w:rsidR="00DC39C8">
        <w:t xml:space="preserve"> AND</w:t>
      </w:r>
      <w:r>
        <w:t xml:space="preserve"> DELIVERIES </w:t>
      </w:r>
    </w:p>
    <w:p w14:paraId="51A1B323" w14:textId="4421BF16" w:rsidR="00214D5E" w:rsidRDefault="00214D5E" w:rsidP="00094771">
      <w:pPr>
        <w:pStyle w:val="Level2"/>
      </w:pPr>
      <w:r w:rsidRPr="00214D5E">
        <w:rPr>
          <w:b/>
          <w:bCs/>
          <w:i/>
          <w:iCs/>
        </w:rPr>
        <w:t>Payments, deliveries and other obligations:</w:t>
      </w:r>
      <w:r>
        <w:t xml:space="preserve"> Subject to clause</w:t>
      </w:r>
      <w:r w:rsidR="00B2143F">
        <w:t xml:space="preserve"> </w:t>
      </w:r>
      <w:r w:rsidR="00940DE1">
        <w:fldChar w:fldCharType="begin" w:fldLock="1"/>
      </w:r>
      <w:r w:rsidR="00940DE1">
        <w:instrText xml:space="preserve"> REF _Ref139990993 \r \h </w:instrText>
      </w:r>
      <w:r w:rsidR="00940DE1">
        <w:fldChar w:fldCharType="separate"/>
      </w:r>
      <w:r w:rsidR="009646BC">
        <w:t>11.2</w:t>
      </w:r>
      <w:r w:rsidR="00940DE1">
        <w:fldChar w:fldCharType="end"/>
      </w:r>
      <w:r w:rsidR="00B2143F">
        <w:t xml:space="preserve"> (</w:t>
      </w:r>
      <w:r w:rsidR="00940DE1">
        <w:rPr>
          <w:i/>
          <w:iCs/>
        </w:rPr>
        <w:t>Consequences of an Event of Default</w:t>
      </w:r>
      <w:r>
        <w:t xml:space="preserve">), the Firm will not be obliged to make any payment or delivery scheduled to be made by it in respect of a Transaction or to repay cash or return any </w:t>
      </w:r>
      <w:r w:rsidR="00193539" w:rsidRPr="00193539">
        <w:t>part of the Title Transfer Balance</w:t>
      </w:r>
      <w:r w:rsidR="00B51FB3">
        <w:t xml:space="preserve"> </w:t>
      </w:r>
      <w:r>
        <w:t>or perform any other obligation under th</w:t>
      </w:r>
      <w:r w:rsidR="000F1B88">
        <w:t>e</w:t>
      </w:r>
      <w:r>
        <w:t xml:space="preserve"> Agreement for as long as an Event of Default or any event which may become (with the passage of time, the giving of notice, the making of any determination under this</w:t>
      </w:r>
      <w:r w:rsidR="000F1B88">
        <w:t xml:space="preserve"> Client Clearing</w:t>
      </w:r>
      <w:r>
        <w:t xml:space="preserve"> Agreement, or any combination thereof) an Event of Default has occurred and is continuing. </w:t>
      </w:r>
    </w:p>
    <w:p w14:paraId="43621E5B" w14:textId="4ECAA8C6" w:rsidR="00214D5E" w:rsidRDefault="00214D5E" w:rsidP="00094771">
      <w:pPr>
        <w:pStyle w:val="Level2"/>
      </w:pPr>
      <w:r w:rsidRPr="00214D5E">
        <w:rPr>
          <w:b/>
          <w:bCs/>
          <w:i/>
          <w:iCs/>
        </w:rPr>
        <w:t>Withholding:</w:t>
      </w:r>
      <w:r>
        <w:t xml:space="preserve"> The Firm may make any deduction, including a FATCA Deduction, that it is required to make by any Applicable Regulations and any payment required in connection with that deduction, including any payment in connection with FATCA. The Firm will not be required to increase any payment or otherwise compensate the Client for any payment in respect of which it makes a deduction, including a FATCA Deduction.</w:t>
      </w:r>
    </w:p>
    <w:p w14:paraId="26335E54" w14:textId="596CB0B5" w:rsidR="00214D5E" w:rsidRDefault="00214D5E" w:rsidP="00094771">
      <w:pPr>
        <w:pStyle w:val="Level2"/>
      </w:pPr>
      <w:r w:rsidRPr="00214D5E">
        <w:rPr>
          <w:b/>
          <w:bCs/>
          <w:i/>
          <w:iCs/>
        </w:rPr>
        <w:t>Gross-up</w:t>
      </w:r>
      <w:r w:rsidRPr="001A6624">
        <w:rPr>
          <w:b/>
          <w:bCs/>
          <w:i/>
          <w:iCs/>
        </w:rPr>
        <w:t>:</w:t>
      </w:r>
      <w:r>
        <w:t xml:space="preserve"> All payments under this </w:t>
      </w:r>
      <w:r w:rsidR="000F1B88">
        <w:t xml:space="preserve">Client Clearing </w:t>
      </w:r>
      <w:r>
        <w:t xml:space="preserve">Agreement by the Client to the Firm will be made free of and without withholding or deduction, including on account of any taxes, duties, assessments or governmental charges of whatsoever nature imposed, withheld or assessed by any relevant tax authority, unless required by Applicable Regulations, in which case the Client will pay such additional amounts as will result in the receipt by the Firm of an amount which it would have received had no deduction or withholding been made. </w:t>
      </w:r>
    </w:p>
    <w:p w14:paraId="1BB68B1E" w14:textId="7CC4F610" w:rsidR="00214D5E" w:rsidRDefault="00214D5E" w:rsidP="00094771">
      <w:pPr>
        <w:pStyle w:val="Level2"/>
      </w:pPr>
      <w:bookmarkStart w:id="142" w:name="_Ref133443123"/>
      <w:r w:rsidRPr="00214D5E">
        <w:rPr>
          <w:b/>
          <w:bCs/>
          <w:i/>
          <w:iCs/>
        </w:rPr>
        <w:t>Charges</w:t>
      </w:r>
      <w:r w:rsidRPr="001A6624">
        <w:rPr>
          <w:b/>
          <w:bCs/>
          <w:i/>
          <w:iCs/>
        </w:rPr>
        <w:t>:</w:t>
      </w:r>
      <w:r>
        <w:t xml:space="preserve"> The Client will pay the </w:t>
      </w:r>
      <w:r w:rsidR="0076033E">
        <w:t>Firm’s</w:t>
      </w:r>
      <w:r>
        <w:t xml:space="preserve"> charges as notified by the Firm, including:</w:t>
      </w:r>
      <w:bookmarkEnd w:id="142"/>
    </w:p>
    <w:p w14:paraId="4503C621" w14:textId="2080F11F" w:rsidR="00214D5E" w:rsidRDefault="00214D5E" w:rsidP="00623726">
      <w:pPr>
        <w:pStyle w:val="Level3"/>
      </w:pPr>
      <w:r>
        <w:t>any fees, commissions or other charges charged by the Firm for the provision of the Services (including any minimum account fee);</w:t>
      </w:r>
    </w:p>
    <w:p w14:paraId="3CD4BDB9" w14:textId="1CF5AEE5" w:rsidR="00214D5E" w:rsidRDefault="00214D5E" w:rsidP="00623726">
      <w:pPr>
        <w:pStyle w:val="Level3"/>
      </w:pPr>
      <w:r>
        <w:t xml:space="preserve">any taxes or duties imposed by any competent authority on any account opened or Transaction cleared for the Client; </w:t>
      </w:r>
    </w:p>
    <w:p w14:paraId="487F44F6" w14:textId="2558E1D0" w:rsidR="00214D5E" w:rsidRDefault="00214D5E" w:rsidP="00623726">
      <w:pPr>
        <w:pStyle w:val="Level3"/>
      </w:pPr>
      <w:r>
        <w:t>any fees or other charges imposed by any Infrastructure, or any Associate or service provider involved in the provision of the Services or which the Firm agrees to be responsible for under a give-up agreement;</w:t>
      </w:r>
    </w:p>
    <w:p w14:paraId="55857AA4" w14:textId="17386CEE" w:rsidR="00214D5E" w:rsidRDefault="00214D5E" w:rsidP="00623726">
      <w:pPr>
        <w:pStyle w:val="Level3"/>
      </w:pPr>
      <w:r>
        <w:t xml:space="preserve">any fines imposed by any competent authority where attributable to the </w:t>
      </w:r>
      <w:r w:rsidR="0076033E">
        <w:t>Client’s</w:t>
      </w:r>
      <w:r>
        <w:t xml:space="preserve"> conduct; and</w:t>
      </w:r>
    </w:p>
    <w:p w14:paraId="7CBEC748" w14:textId="48A5F016" w:rsidR="00214D5E" w:rsidRDefault="00214D5E" w:rsidP="00623726">
      <w:pPr>
        <w:pStyle w:val="Level3"/>
      </w:pPr>
      <w:r>
        <w:t>any other value added or other applicable taxes in respect of any of the foregoing, including any withholding tax.</w:t>
      </w:r>
    </w:p>
    <w:p w14:paraId="3DF00FF7" w14:textId="4ACCDF3F" w:rsidR="00214D5E" w:rsidRPr="00152A7F" w:rsidRDefault="00214D5E" w:rsidP="00214D5E">
      <w:pPr>
        <w:pStyle w:val="Level2"/>
        <w:numPr>
          <w:ilvl w:val="0"/>
          <w:numId w:val="0"/>
        </w:numPr>
        <w:ind w:left="680"/>
      </w:pPr>
      <w:r>
        <w:t>These amounts will be payable on the due date specified by the Firm or otherwise on demand.</w:t>
      </w:r>
    </w:p>
    <w:p w14:paraId="3DA1457B" w14:textId="4CF5F978" w:rsidR="00214D5E" w:rsidRDefault="00214D5E" w:rsidP="00094771">
      <w:pPr>
        <w:pStyle w:val="Level2"/>
      </w:pPr>
      <w:r w:rsidRPr="00214D5E">
        <w:rPr>
          <w:b/>
          <w:bCs/>
          <w:i/>
          <w:iCs/>
        </w:rPr>
        <w:t>Payments:</w:t>
      </w:r>
      <w:r>
        <w:t xml:space="preserve"> All payments to the Firm under this</w:t>
      </w:r>
      <w:r w:rsidR="00393AB7">
        <w:t xml:space="preserve"> Client Clearing</w:t>
      </w:r>
      <w:r>
        <w:t xml:space="preserve"> Agreement (other than margin) will be made, unless otherwise agreed, in same day funds in any currency which the Firm may specify from time to time to the bank account designated by the Firm for such purposes. </w:t>
      </w:r>
    </w:p>
    <w:p w14:paraId="6EF355D9" w14:textId="4495F28F" w:rsidR="00214D5E" w:rsidRDefault="00214D5E" w:rsidP="00094771">
      <w:pPr>
        <w:pStyle w:val="Level2"/>
      </w:pPr>
      <w:r w:rsidRPr="00214D5E">
        <w:rPr>
          <w:b/>
          <w:bCs/>
          <w:i/>
          <w:iCs/>
        </w:rPr>
        <w:t>Currency conversion</w:t>
      </w:r>
      <w:r w:rsidRPr="001A6624">
        <w:rPr>
          <w:b/>
          <w:bCs/>
          <w:i/>
          <w:iCs/>
        </w:rPr>
        <w:t>:</w:t>
      </w:r>
      <w:r>
        <w:t xml:space="preserve"> If the Client provides cash to the Firm in a currency other than that in which the </w:t>
      </w:r>
      <w:r w:rsidR="0076033E">
        <w:t>Client’s</w:t>
      </w:r>
      <w:r>
        <w:t xml:space="preserve"> obligation is denominated, the Firm may (at the </w:t>
      </w:r>
      <w:r w:rsidR="0076033E">
        <w:t>Client’s</w:t>
      </w:r>
      <w:r>
        <w:t xml:space="preserve"> cost) convert the currency provided so as to satisfy the obligation to the extent possible.</w:t>
      </w:r>
    </w:p>
    <w:p w14:paraId="697D8084" w14:textId="516F6C79" w:rsidR="00214D5E" w:rsidRDefault="00214D5E" w:rsidP="00094771">
      <w:pPr>
        <w:pStyle w:val="Level2"/>
      </w:pPr>
      <w:r w:rsidRPr="00214D5E">
        <w:rPr>
          <w:b/>
          <w:bCs/>
          <w:i/>
          <w:iCs/>
        </w:rPr>
        <w:lastRenderedPageBreak/>
        <w:t>Default and Negative Interest:</w:t>
      </w:r>
      <w:r>
        <w:t xml:space="preserve"> The Firm may charge interest on any amount due to the Firm at the rates then charged by the Firm which are available on request. In relation to any monies held by the Firm for the Client, the Firm may charge negative interest where appropriate.</w:t>
      </w:r>
    </w:p>
    <w:p w14:paraId="1FDD7689" w14:textId="788CE25E" w:rsidR="00E55F21" w:rsidRPr="00E55F21" w:rsidRDefault="00214D5E" w:rsidP="00094771">
      <w:pPr>
        <w:pStyle w:val="Level2"/>
      </w:pPr>
      <w:r w:rsidRPr="00214D5E">
        <w:rPr>
          <w:b/>
          <w:bCs/>
          <w:i/>
          <w:iCs/>
        </w:rPr>
        <w:t>Remuneration and inducements:</w:t>
      </w:r>
      <w:r>
        <w:t xml:space="preserve"> The Firm may, with the Cli</w:t>
      </w:r>
      <w:r w:rsidR="0076033E">
        <w:t>e</w:t>
      </w:r>
      <w:r>
        <w:t>nt's agreement, receive remuneration from or share charges with an Associate or with a third party in connection with the provision of Services for the Cli</w:t>
      </w:r>
      <w:r w:rsidR="0076033E">
        <w:t>e</w:t>
      </w:r>
      <w:r>
        <w:t>nt's account where this is designed to enhance the quality of the service provided to the Client. The Firm will upon request disclose such remuneration or sharing arrangements to the Client, together with the calculation methodology used to calculate such payments.</w:t>
      </w:r>
    </w:p>
    <w:p w14:paraId="5555DA44" w14:textId="18F6FF58" w:rsidR="009D077D" w:rsidRDefault="009D077D" w:rsidP="00623726">
      <w:pPr>
        <w:pStyle w:val="Level1"/>
      </w:pPr>
      <w:r>
        <w:t>RECORDS, NOTICES AND CONTRACTUAL ARRANGEMENTS</w:t>
      </w:r>
    </w:p>
    <w:p w14:paraId="6F6A2DD5" w14:textId="698766D4" w:rsidR="009D077D" w:rsidRDefault="009D077D" w:rsidP="00094771">
      <w:pPr>
        <w:pStyle w:val="Level2"/>
      </w:pPr>
      <w:r w:rsidRPr="009D077D">
        <w:rPr>
          <w:b/>
          <w:bCs/>
          <w:i/>
          <w:iCs/>
        </w:rPr>
        <w:t>Modification of terms:</w:t>
      </w:r>
      <w:r>
        <w:t xml:space="preserve"> The Firm may change the terms of this </w:t>
      </w:r>
      <w:r w:rsidR="000C7800">
        <w:t xml:space="preserve">Client Clearing </w:t>
      </w:r>
      <w:r>
        <w:t>Agreement (</w:t>
      </w:r>
      <w:r w:rsidR="006B5F81">
        <w:t>but not</w:t>
      </w:r>
      <w:r w:rsidR="00851770">
        <w:t>, for the avoidance of doubt,</w:t>
      </w:r>
      <w:r>
        <w:t xml:space="preserve"> the </w:t>
      </w:r>
      <w:r w:rsidR="00993ACC">
        <w:t>Segregated Asset</w:t>
      </w:r>
      <w:r w:rsidR="00094A99">
        <w:t xml:space="preserve"> Terms</w:t>
      </w:r>
      <w:r>
        <w:t>)</w:t>
      </w:r>
      <w:r w:rsidR="00B26C56">
        <w:t xml:space="preserve"> </w:t>
      </w:r>
      <w:r>
        <w:t>immediately upon giving written notice where required by Applicable Regulations or by giving at least [10] Business D</w:t>
      </w:r>
      <w:r w:rsidR="0076033E">
        <w:t>a</w:t>
      </w:r>
      <w:r>
        <w:t>ys' written notice to the Client and any change will take effect on the date specified in the notice. Unless otherwise agreed or required by Applicable Regulations, an amendment will not affect any outstanding order or Transaction or any legal rights or obligations which may already have arisen.</w:t>
      </w:r>
    </w:p>
    <w:p w14:paraId="576D2975" w14:textId="4703C7D4" w:rsidR="009D077D" w:rsidRDefault="009D077D" w:rsidP="00094771">
      <w:pPr>
        <w:pStyle w:val="Level2"/>
      </w:pPr>
      <w:bookmarkStart w:id="143" w:name="_Ref133412062"/>
      <w:r w:rsidRPr="009D077D">
        <w:rPr>
          <w:b/>
          <w:bCs/>
          <w:i/>
          <w:iCs/>
        </w:rPr>
        <w:t>Notices:</w:t>
      </w:r>
      <w:r>
        <w:t xml:space="preserve"> Unless otherwise agreed:</w:t>
      </w:r>
      <w:bookmarkEnd w:id="143"/>
      <w:r>
        <w:t xml:space="preserve"> </w:t>
      </w:r>
    </w:p>
    <w:p w14:paraId="11DC48B2" w14:textId="3F29C3A1" w:rsidR="009D077D" w:rsidRDefault="009D077D" w:rsidP="00623726">
      <w:pPr>
        <w:pStyle w:val="Level3"/>
      </w:pPr>
      <w:bookmarkStart w:id="144" w:name="_Ref133411410"/>
      <w:r>
        <w:t>all notices, instructions and other communications to be given by the Firm or the Client under th</w:t>
      </w:r>
      <w:r w:rsidR="00393AB7">
        <w:t>e</w:t>
      </w:r>
      <w:r>
        <w:t xml:space="preserve"> Agreement other than communications relating to the matters referred to in clause </w:t>
      </w:r>
      <w:r>
        <w:fldChar w:fldCharType="begin" w:fldLock="1"/>
      </w:r>
      <w:r>
        <w:instrText xml:space="preserve"> REF _Ref133411424 \w \h </w:instrText>
      </w:r>
      <w:r>
        <w:fldChar w:fldCharType="separate"/>
      </w:r>
      <w:r w:rsidR="009646BC">
        <w:t>27.2.2</w:t>
      </w:r>
      <w:r>
        <w:fldChar w:fldCharType="end"/>
      </w:r>
      <w:r>
        <w:t xml:space="preserve"> will be given to the address (whether electronic or otherwise) provided by the other Party for this purpose in the Annex or otherwise notified by the addressee from time to time; and</w:t>
      </w:r>
      <w:bookmarkEnd w:id="144"/>
    </w:p>
    <w:p w14:paraId="4ADD8A50" w14:textId="67085659" w:rsidR="009D077D" w:rsidRDefault="009D077D" w:rsidP="00623726">
      <w:pPr>
        <w:pStyle w:val="Level3"/>
      </w:pPr>
      <w:bookmarkStart w:id="145" w:name="_Ref133411424"/>
      <w:r>
        <w:t xml:space="preserve">all notices and other communications to be given by the Firm or the Client relating to close-out or termination (whether voluntary or involuntary) or determinations of any </w:t>
      </w:r>
      <w:r w:rsidR="00940DE1">
        <w:t>Shortfall</w:t>
      </w:r>
      <w:r>
        <w:t xml:space="preserve"> Amount will be delivered to the other party at the physical address[, fax number] or email address provided by the other Party for this purpose in the Annex or otherwise notified by the addressee from time to time.</w:t>
      </w:r>
      <w:bookmarkEnd w:id="145"/>
    </w:p>
    <w:p w14:paraId="300FFB00" w14:textId="5D48C1FD" w:rsidR="009D077D" w:rsidRDefault="009D077D" w:rsidP="00C97841">
      <w:pPr>
        <w:pStyle w:val="Level2"/>
        <w:numPr>
          <w:ilvl w:val="0"/>
          <w:numId w:val="0"/>
        </w:numPr>
        <w:ind w:left="680"/>
      </w:pPr>
      <w:r>
        <w:t>The Client will notify the Firm of any change of the Cli</w:t>
      </w:r>
      <w:r w:rsidR="0076033E">
        <w:t>e</w:t>
      </w:r>
      <w:r>
        <w:t>nt's address in accordance with this clause</w:t>
      </w:r>
      <w:r w:rsidR="00A55269">
        <w:t xml:space="preserve"> </w:t>
      </w:r>
      <w:r w:rsidR="00A55269">
        <w:fldChar w:fldCharType="begin" w:fldLock="1"/>
      </w:r>
      <w:r w:rsidR="00A55269">
        <w:instrText xml:space="preserve"> REF _Ref133412062 \r \h </w:instrText>
      </w:r>
      <w:r w:rsidR="00A55269">
        <w:fldChar w:fldCharType="separate"/>
      </w:r>
      <w:r w:rsidR="009646BC">
        <w:t>27.2</w:t>
      </w:r>
      <w:r w:rsidR="00A55269">
        <w:fldChar w:fldCharType="end"/>
      </w:r>
      <w:r>
        <w:t xml:space="preserve">. </w:t>
      </w:r>
    </w:p>
    <w:p w14:paraId="701D03F7" w14:textId="64C8EF20" w:rsidR="009D077D" w:rsidRDefault="009D077D" w:rsidP="00094771">
      <w:pPr>
        <w:pStyle w:val="Level2"/>
      </w:pPr>
      <w:bookmarkStart w:id="146" w:name="_Ref133442908"/>
      <w:r w:rsidRPr="00C97841">
        <w:rPr>
          <w:b/>
          <w:bCs/>
          <w:i/>
          <w:iCs/>
        </w:rPr>
        <w:t>Effectiveness of notices:</w:t>
      </w:r>
      <w:r>
        <w:t xml:space="preserve"> Notices, instructions and other communications given in accordance with clause </w:t>
      </w:r>
      <w:r w:rsidR="00C97841">
        <w:fldChar w:fldCharType="begin" w:fldLock="1"/>
      </w:r>
      <w:r w:rsidR="00C97841">
        <w:instrText xml:space="preserve"> REF _Ref133412062 \w \h </w:instrText>
      </w:r>
      <w:r w:rsidR="00C97841">
        <w:fldChar w:fldCharType="separate"/>
      </w:r>
      <w:r w:rsidR="009646BC">
        <w:t>27.2</w:t>
      </w:r>
      <w:r w:rsidR="00C97841">
        <w:fldChar w:fldCharType="end"/>
      </w:r>
      <w:r w:rsidR="00C97841">
        <w:t xml:space="preserve"> </w:t>
      </w:r>
      <w:r>
        <w:t>(</w:t>
      </w:r>
      <w:r w:rsidRPr="00C97841">
        <w:rPr>
          <w:i/>
          <w:iCs/>
        </w:rPr>
        <w:t>Notices</w:t>
      </w:r>
      <w:r>
        <w:t>) will only be effective on the date indicated below (or, if that day is not a Business Day or the notice is given after 5:00 p.m. in the place of receipt, the immediately following Business Day):</w:t>
      </w:r>
      <w:bookmarkEnd w:id="146"/>
    </w:p>
    <w:p w14:paraId="242E1A2F" w14:textId="5F764B5D" w:rsidR="009D077D" w:rsidRDefault="009D077D" w:rsidP="00623726">
      <w:pPr>
        <w:pStyle w:val="Level3"/>
      </w:pPr>
      <w:r>
        <w:t>if in writing and delivered in person or by courier, on the date it is delivered;</w:t>
      </w:r>
    </w:p>
    <w:p w14:paraId="17AF55DE" w14:textId="4202804E" w:rsidR="009D077D" w:rsidRDefault="009D077D" w:rsidP="00623726">
      <w:pPr>
        <w:pStyle w:val="Level3"/>
      </w:pPr>
      <w:r>
        <w:t>if by way of fax, when received in legible form;</w:t>
      </w:r>
    </w:p>
    <w:p w14:paraId="3C7DE27E" w14:textId="3D54A9A5" w:rsidR="009D077D" w:rsidRDefault="009D077D" w:rsidP="00623726">
      <w:pPr>
        <w:pStyle w:val="Level3"/>
      </w:pPr>
      <w:r>
        <w:t>if sent by certified or registered mail (airmail, if overseas) or the equivalent (return receipt requested), on the date it is delivered or its delivery is attempted;</w:t>
      </w:r>
    </w:p>
    <w:p w14:paraId="4466C222" w14:textId="510F8331" w:rsidR="009D077D" w:rsidRDefault="009D077D" w:rsidP="00623726">
      <w:pPr>
        <w:pStyle w:val="Level3"/>
      </w:pPr>
      <w:r>
        <w:t>if sent by email, on the date it is delivered; and</w:t>
      </w:r>
    </w:p>
    <w:p w14:paraId="35325B55" w14:textId="3C4F5590" w:rsidR="009D077D" w:rsidRDefault="009D077D" w:rsidP="00623726">
      <w:pPr>
        <w:pStyle w:val="Level3"/>
      </w:pPr>
      <w:r>
        <w:lastRenderedPageBreak/>
        <w:t xml:space="preserve">if sent by any other electronic messaging system, on the date it is received. </w:t>
      </w:r>
    </w:p>
    <w:p w14:paraId="752090C5" w14:textId="77777777" w:rsidR="00DF52EF" w:rsidRDefault="00DF52EF" w:rsidP="00094771">
      <w:pPr>
        <w:pStyle w:val="Level2"/>
      </w:pPr>
      <w:r>
        <w:t>[</w:t>
      </w:r>
      <w:r w:rsidRPr="000D6555">
        <w:rPr>
          <w:b/>
          <w:bCs/>
          <w:i/>
          <w:iCs/>
        </w:rPr>
        <w:t>Deliveries of notices for CDS Transactions and other services:</w:t>
      </w:r>
      <w:r>
        <w:t xml:space="preserve"> The Client acknowledges that, in relation to any credit default swap Transactions and certain other services, Infrastructures have established cut-off times for the delivery of notices and that the Firm may designate notice cut-off times which are earlier than those specified by Infrastructures. If the Client does not instruct the Firm by the applicable cut-off time, the Firm will have no liability for the relevant notice not being delivered or (if applicable) the relevant Transaction not being exercised or settled in accordance with that notice. In the absence of instructions from the Client, the Firm may send notices relating to any Transaction or any other service where it deems it appropriate to do so.]</w:t>
      </w:r>
    </w:p>
    <w:p w14:paraId="67E6A292" w14:textId="4B0E0D49" w:rsidR="009D077D" w:rsidRDefault="009D077D" w:rsidP="00094771">
      <w:pPr>
        <w:pStyle w:val="Level2"/>
      </w:pPr>
      <w:r w:rsidRPr="00C97841">
        <w:rPr>
          <w:b/>
          <w:bCs/>
          <w:i/>
          <w:iCs/>
        </w:rPr>
        <w:t>Electronic communications:</w:t>
      </w:r>
      <w:r>
        <w:t xml:space="preserve"> Instructions given to the Client via email or other electronic means will constitute evidence of the instructions given. Communications between the Client and the Firm will be recorded. A copy of the record will be available on request for a period of five years and, where requested by the FCA or other relevant regulatory authority, for a period of up to seven years.</w:t>
      </w:r>
    </w:p>
    <w:p w14:paraId="15F79AF3" w14:textId="633043FC" w:rsidR="009D077D" w:rsidRDefault="009D077D" w:rsidP="00094771">
      <w:pPr>
        <w:pStyle w:val="Level2"/>
      </w:pPr>
      <w:r w:rsidRPr="00C97841">
        <w:rPr>
          <w:b/>
          <w:bCs/>
          <w:i/>
          <w:iCs/>
        </w:rPr>
        <w:t>Recording of calls:</w:t>
      </w:r>
      <w:r>
        <w:t xml:space="preserve"> If the Client gives the Firm instructions by telephone, the Cli</w:t>
      </w:r>
      <w:r w:rsidR="0076033E">
        <w:t>e</w:t>
      </w:r>
      <w:r>
        <w:t>nt's conversation may be recorded. The Firm may record telephone conversations without use of a warning tone. The records will be the F</w:t>
      </w:r>
      <w:r w:rsidR="0076033E">
        <w:t>i</w:t>
      </w:r>
      <w:r>
        <w:t xml:space="preserve">rm's sole property and accepted by the Client as evidence of the orders or instructions given. </w:t>
      </w:r>
    </w:p>
    <w:p w14:paraId="73BED645" w14:textId="66D5399B" w:rsidR="009D077D" w:rsidRPr="009D077D" w:rsidRDefault="009D077D" w:rsidP="00094771">
      <w:pPr>
        <w:pStyle w:val="Level2"/>
      </w:pPr>
      <w:r w:rsidRPr="00C97841">
        <w:rPr>
          <w:b/>
          <w:bCs/>
          <w:i/>
          <w:iCs/>
        </w:rPr>
        <w:t>The F</w:t>
      </w:r>
      <w:r w:rsidR="0076033E">
        <w:rPr>
          <w:b/>
          <w:bCs/>
          <w:i/>
          <w:iCs/>
        </w:rPr>
        <w:t>i</w:t>
      </w:r>
      <w:r w:rsidRPr="00C97841">
        <w:rPr>
          <w:b/>
          <w:bCs/>
          <w:i/>
          <w:iCs/>
        </w:rPr>
        <w:t>rm's records:</w:t>
      </w:r>
      <w:r>
        <w:t xml:space="preserve"> The F</w:t>
      </w:r>
      <w:r w:rsidR="0076033E">
        <w:t>i</w:t>
      </w:r>
      <w:r>
        <w:t>rm's records, unless shown to be wrong, will be evidence of the Cli</w:t>
      </w:r>
      <w:r w:rsidR="0076033E">
        <w:t>e</w:t>
      </w:r>
      <w:r>
        <w:t>nt's dealings with the Firm in connection with the Services. The Client will not object to the admission of the F</w:t>
      </w:r>
      <w:r w:rsidR="0076033E">
        <w:t>i</w:t>
      </w:r>
      <w:r>
        <w:t>rm's records as evidence in any legal proceedings on the grounds that those records are not originals, are not in writing or are documents produced by a computer. The Client will not rely on the Firm to comply with the Cli</w:t>
      </w:r>
      <w:r w:rsidR="0076033E">
        <w:t>e</w:t>
      </w:r>
      <w:r>
        <w:t>nt's record keeping obligations, although records may be made available to the Client on request.</w:t>
      </w:r>
    </w:p>
    <w:p w14:paraId="661CAFCF" w14:textId="12BF438A" w:rsidR="00AE55BA" w:rsidRDefault="00637B1A" w:rsidP="00623726">
      <w:pPr>
        <w:pStyle w:val="Level1"/>
      </w:pPr>
      <w:r>
        <w:t xml:space="preserve">CLIENT </w:t>
      </w:r>
      <w:r w:rsidR="00AE55BA">
        <w:t>ACKNOWLEDGEMENT</w:t>
      </w:r>
      <w:r w:rsidR="0012521F">
        <w:t>S</w:t>
      </w:r>
    </w:p>
    <w:p w14:paraId="66EEE4C6" w14:textId="1A8A4744" w:rsidR="00C55230" w:rsidRDefault="0012521F" w:rsidP="00237B71">
      <w:pPr>
        <w:pStyle w:val="Level2"/>
      </w:pPr>
      <w:r>
        <w:rPr>
          <w:b/>
          <w:bCs/>
          <w:i/>
          <w:iCs/>
        </w:rPr>
        <w:t xml:space="preserve">Firm relationship with </w:t>
      </w:r>
      <w:r w:rsidRPr="00237B71">
        <w:rPr>
          <w:b/>
          <w:bCs/>
          <w:i/>
          <w:iCs/>
        </w:rPr>
        <w:t>Agreed CCP:</w:t>
      </w:r>
      <w:r>
        <w:rPr>
          <w:b/>
          <w:bCs/>
          <w:sz w:val="22"/>
          <w:szCs w:val="32"/>
        </w:rPr>
        <w:t xml:space="preserve"> </w:t>
      </w:r>
      <w:r w:rsidR="00AE55BA">
        <w:t>The Client hereby acknowledges and agrees that the Firm shall enter</w:t>
      </w:r>
      <w:r w:rsidR="00B00ED2">
        <w:t xml:space="preserve"> into</w:t>
      </w:r>
      <w:r w:rsidR="00AE55BA">
        <w:t xml:space="preserve"> Transactions with each Agreed CCP as principal and that the Client shall have no rights against any Agreed CCP to enforce any term of that Transaction. </w:t>
      </w:r>
    </w:p>
    <w:p w14:paraId="74B3BD9C" w14:textId="7CBDEE2A" w:rsidR="00AE55BA" w:rsidRPr="00AE55BA" w:rsidRDefault="001505AF" w:rsidP="00237B71">
      <w:pPr>
        <w:pStyle w:val="Level2"/>
      </w:pPr>
      <w:r>
        <w:rPr>
          <w:b/>
          <w:bCs/>
          <w:i/>
          <w:iCs/>
        </w:rPr>
        <w:t xml:space="preserve">Settled </w:t>
      </w:r>
      <w:r w:rsidR="00212843">
        <w:rPr>
          <w:b/>
          <w:bCs/>
          <w:i/>
          <w:iCs/>
        </w:rPr>
        <w:t>Assets</w:t>
      </w:r>
      <w:r w:rsidR="00980F4A" w:rsidRPr="00237B71">
        <w:rPr>
          <w:b/>
          <w:bCs/>
          <w:i/>
          <w:iCs/>
        </w:rPr>
        <w:t>:</w:t>
      </w:r>
      <w:r w:rsidR="00980F4A">
        <w:rPr>
          <w:i/>
          <w:iCs/>
        </w:rPr>
        <w:t xml:space="preserve"> </w:t>
      </w:r>
      <w:r w:rsidR="00AE55BA">
        <w:t>The Client further acknowledges and agrees that</w:t>
      </w:r>
      <w:r w:rsidR="00B00ED2" w:rsidRPr="00751E31">
        <w:t xml:space="preserve"> </w:t>
      </w:r>
      <w:r>
        <w:t>Settled</w:t>
      </w:r>
      <w:r w:rsidR="00F8708A" w:rsidRPr="00751E31">
        <w:t xml:space="preserve"> </w:t>
      </w:r>
      <w:r w:rsidR="00E05F9F" w:rsidRPr="00751E31">
        <w:t>Assets</w:t>
      </w:r>
      <w:r w:rsidR="00E70C4B">
        <w:t xml:space="preserve"> (and assets which would have been Settled Assets were they not Deemed Settled Assets instead)</w:t>
      </w:r>
      <w:r w:rsidR="00AE55BA" w:rsidRPr="00751E31">
        <w:t xml:space="preserve"> </w:t>
      </w:r>
      <w:r>
        <w:t xml:space="preserve"> </w:t>
      </w:r>
      <w:r w:rsidR="00AE55BA" w:rsidRPr="00751E31">
        <w:t xml:space="preserve">will </w:t>
      </w:r>
      <w:r w:rsidR="00C74406">
        <w:t>cease to be</w:t>
      </w:r>
      <w:r w:rsidR="00AE55BA" w:rsidRPr="00751E31">
        <w:t xml:space="preserve"> subject t</w:t>
      </w:r>
      <w:r w:rsidR="00AE55BA" w:rsidRPr="00E05F9F">
        <w:t xml:space="preserve">o </w:t>
      </w:r>
      <w:r w:rsidR="008D1EFF" w:rsidRPr="00E05F9F">
        <w:t xml:space="preserve">the </w:t>
      </w:r>
      <w:r w:rsidR="000C1403" w:rsidRPr="00C55230">
        <w:t>Segregated</w:t>
      </w:r>
      <w:r w:rsidR="000C1403">
        <w:t xml:space="preserve"> Assets</w:t>
      </w:r>
      <w:r w:rsidR="00802900" w:rsidRPr="00E05F9F">
        <w:t xml:space="preserve"> Arrangement</w:t>
      </w:r>
      <w:r w:rsidR="00AE55BA" w:rsidRPr="00E05F9F">
        <w:t xml:space="preserve"> </w:t>
      </w:r>
      <w:r w:rsidR="00C74406">
        <w:t xml:space="preserve">in accordance with paragraph </w:t>
      </w:r>
      <w:r w:rsidR="00C74406">
        <w:fldChar w:fldCharType="begin" w:fldLock="1"/>
      </w:r>
      <w:r w:rsidR="00C74406">
        <w:instrText xml:space="preserve"> REF _Ref178767993 \r \h </w:instrText>
      </w:r>
      <w:r w:rsidR="00C74406">
        <w:fldChar w:fldCharType="separate"/>
      </w:r>
      <w:r w:rsidR="009646BC">
        <w:t>1.6</w:t>
      </w:r>
      <w:r w:rsidR="00C74406">
        <w:fldChar w:fldCharType="end"/>
      </w:r>
      <w:r w:rsidR="00C74406">
        <w:t xml:space="preserve"> (</w:t>
      </w:r>
      <w:r w:rsidR="00C74406">
        <w:rPr>
          <w:i/>
          <w:iCs/>
        </w:rPr>
        <w:t xml:space="preserve">Nature of beneficial interest and </w:t>
      </w:r>
      <w:r w:rsidR="00C74406" w:rsidRPr="004D04D7">
        <w:rPr>
          <w:i/>
          <w:iCs/>
        </w:rPr>
        <w:t>entitlement</w:t>
      </w:r>
      <w:r w:rsidR="00C74406">
        <w:t>) of the Segregated Asset Terms, following which</w:t>
      </w:r>
      <w:r w:rsidR="00AE55BA" w:rsidRPr="00E05F9F">
        <w:t xml:space="preserve"> </w:t>
      </w:r>
      <w:r w:rsidR="00B00ED2" w:rsidRPr="00E05F9F">
        <w:t xml:space="preserve">any claim of the Client to payment or delivery of </w:t>
      </w:r>
      <w:r>
        <w:t>Equivalent Settled Assets in respect of those Settled Assets and Deemed Settled Assets</w:t>
      </w:r>
      <w:r w:rsidR="00E05F9F" w:rsidRPr="00E05F9F">
        <w:t xml:space="preserve"> </w:t>
      </w:r>
      <w:r w:rsidR="00B00ED2" w:rsidRPr="00E05F9F">
        <w:t xml:space="preserve">will </w:t>
      </w:r>
      <w:r w:rsidR="001E3CC7">
        <w:t>rank as a senior,</w:t>
      </w:r>
      <w:r w:rsidR="00B00ED2" w:rsidRPr="00E05F9F">
        <w:t xml:space="preserve"> unsecured</w:t>
      </w:r>
      <w:r w:rsidR="001E3CC7">
        <w:t xml:space="preserve"> claim against the Firm</w:t>
      </w:r>
      <w:r w:rsidR="00B00ED2" w:rsidRPr="00E05F9F">
        <w:t>.</w:t>
      </w:r>
      <w:r w:rsidR="00B00ED2">
        <w:t xml:space="preserve"> </w:t>
      </w:r>
    </w:p>
    <w:p w14:paraId="0FE58F24" w14:textId="0B25442F" w:rsidR="00AE55BA" w:rsidRDefault="00AE55BA" w:rsidP="00623726">
      <w:pPr>
        <w:pStyle w:val="Level1"/>
      </w:pPr>
      <w:r>
        <w:t xml:space="preserve">DISCLOSURES </w:t>
      </w:r>
    </w:p>
    <w:p w14:paraId="01895C97" w14:textId="4BFB9D1E" w:rsidR="00AE55BA" w:rsidRDefault="00AE55BA" w:rsidP="00094771">
      <w:pPr>
        <w:pStyle w:val="Level2"/>
      </w:pPr>
      <w:r w:rsidRPr="00AE55BA">
        <w:rPr>
          <w:b/>
          <w:bCs/>
          <w:i/>
          <w:iCs/>
        </w:rPr>
        <w:t>Complaints procedure</w:t>
      </w:r>
      <w:r w:rsidRPr="001A6624">
        <w:rPr>
          <w:b/>
          <w:bCs/>
          <w:i/>
          <w:iCs/>
        </w:rPr>
        <w:t xml:space="preserve">: </w:t>
      </w:r>
      <w:r>
        <w:t>The Firm is obliged to put in place internal procedures for handling complaints fairly and promptly. The Client may submit a complaint to the Firm, for example by letter, telephone, email or in person. The Firm will send the Client a written acknowledgement of the Cli</w:t>
      </w:r>
      <w:r w:rsidR="0076033E">
        <w:t>e</w:t>
      </w:r>
      <w:r>
        <w:t xml:space="preserve">nt's complaint promptly following receipt, enclosing details of </w:t>
      </w:r>
      <w:r>
        <w:lastRenderedPageBreak/>
        <w:t>the F</w:t>
      </w:r>
      <w:r w:rsidR="0076033E">
        <w:t>i</w:t>
      </w:r>
      <w:r>
        <w:t>rm's complaints procedures, including when and how the Client may be able to refer the Cli</w:t>
      </w:r>
      <w:r w:rsidR="0076033E">
        <w:t>e</w:t>
      </w:r>
      <w:r>
        <w:t>nt's complaint to the Financial Ombudsman Service. The Client should contact the Firm if the Client would like further details regarding the F</w:t>
      </w:r>
      <w:r w:rsidR="0076033E">
        <w:t>i</w:t>
      </w:r>
      <w:r>
        <w:t>rm's complaints procedures.</w:t>
      </w:r>
    </w:p>
    <w:p w14:paraId="1A51B1F9" w14:textId="5E8CB912" w:rsidR="00AE55BA" w:rsidRPr="00AE55BA" w:rsidRDefault="00AE55BA" w:rsidP="00094771">
      <w:pPr>
        <w:pStyle w:val="Level2"/>
      </w:pPr>
      <w:r>
        <w:t>[</w:t>
      </w:r>
      <w:r w:rsidRPr="00763A0B">
        <w:rPr>
          <w:b/>
          <w:bCs/>
          <w:i/>
          <w:iCs/>
        </w:rPr>
        <w:t>Investor protection schemes:</w:t>
      </w:r>
      <w:r>
        <w:t xml:space="preserve"> The Firm is a member of the Financial Services Compensation Scheme (t</w:t>
      </w:r>
      <w:r w:rsidR="0076033E">
        <w:t>h</w:t>
      </w:r>
      <w:r>
        <w:t xml:space="preserve">e </w:t>
      </w:r>
      <w:r w:rsidR="008A5B1C">
        <w:t>“</w:t>
      </w:r>
      <w:r w:rsidRPr="00763A0B">
        <w:rPr>
          <w:b/>
          <w:bCs/>
        </w:rPr>
        <w:t>Sch</w:t>
      </w:r>
      <w:r w:rsidR="0076033E">
        <w:rPr>
          <w:b/>
          <w:bCs/>
        </w:rPr>
        <w:t>e</w:t>
      </w:r>
      <w:r w:rsidRPr="00763A0B">
        <w:rPr>
          <w:b/>
          <w:bCs/>
        </w:rPr>
        <w:t>me</w:t>
      </w:r>
      <w:r w:rsidR="008A5B1C">
        <w:t>”</w:t>
      </w:r>
      <w:r>
        <w:t>) in the UK. The Scheme is only available to certain types of claimants and claims. Payments to eligible claimants under the Scheme will vary depending on the type of protected claim (for example, deposits or investments) the claimants hold with respect to the relevant institution. Payments under the Scheme in respect of investments</w:t>
      </w:r>
      <w:r w:rsidR="006E2448">
        <w:t xml:space="preserve"> and deposits</w:t>
      </w:r>
      <w:r w:rsidR="00A84F9F">
        <w:t xml:space="preserve"> respectively</w:t>
      </w:r>
      <w:r>
        <w:t xml:space="preserve"> are </w:t>
      </w:r>
      <w:r w:rsidR="00EE57A4">
        <w:t xml:space="preserve">currently </w:t>
      </w:r>
      <w:r>
        <w:t xml:space="preserve">subject to a maximum payment to any eligible </w:t>
      </w:r>
      <w:r w:rsidR="00FC72BA">
        <w:t>person</w:t>
      </w:r>
      <w:r>
        <w:t xml:space="preserve"> of GBP </w:t>
      </w:r>
      <w:r w:rsidR="0094195C">
        <w:t>8</w:t>
      </w:r>
      <w:r>
        <w:t>5,000. Further details of the Scheme are available on request or at the Sch</w:t>
      </w:r>
      <w:r w:rsidR="0076033E">
        <w:t>e</w:t>
      </w:r>
      <w:r>
        <w:t xml:space="preserve">me's official website </w:t>
      </w:r>
      <w:r w:rsidR="00073FFC" w:rsidRPr="0076033E">
        <w:t>at</w:t>
      </w:r>
      <w:r w:rsidR="00742BA4">
        <w:t xml:space="preserve"> </w:t>
      </w:r>
      <w:hyperlink r:id="rId9" w:history="1">
        <w:r w:rsidR="00B0498C">
          <w:rPr>
            <w:rStyle w:val="Hyperlink"/>
          </w:rPr>
          <w:t>https://www.fscs.org.uk/</w:t>
        </w:r>
      </w:hyperlink>
      <w:r>
        <w:t>.]</w:t>
      </w:r>
    </w:p>
    <w:p w14:paraId="017483EB" w14:textId="5C49A255" w:rsidR="00057440" w:rsidRDefault="00057440" w:rsidP="00623726">
      <w:pPr>
        <w:pStyle w:val="Level1"/>
      </w:pPr>
      <w:r>
        <w:t xml:space="preserve">MISCELLANEOUS </w:t>
      </w:r>
    </w:p>
    <w:p w14:paraId="71A2F24F" w14:textId="34D43A5B" w:rsidR="00057440" w:rsidRDefault="00057440" w:rsidP="00094771">
      <w:pPr>
        <w:pStyle w:val="Level2"/>
      </w:pPr>
      <w:bookmarkStart w:id="147" w:name="_Ref133419425"/>
      <w:r w:rsidRPr="00037C42">
        <w:rPr>
          <w:b/>
          <w:bCs/>
          <w:i/>
          <w:iCs/>
        </w:rPr>
        <w:t>Base Currency</w:t>
      </w:r>
      <w:r w:rsidRPr="001A6624">
        <w:rPr>
          <w:b/>
          <w:bCs/>
          <w:i/>
          <w:iCs/>
        </w:rPr>
        <w:t>:</w:t>
      </w:r>
      <w:r>
        <w:t xml:space="preserve"> For the purposes of any calculation under th</w:t>
      </w:r>
      <w:r w:rsidR="00587FF3">
        <w:t>e</w:t>
      </w:r>
      <w:r>
        <w:t xml:space="preserve"> Agreement, the Firm may convert amounts denominated in any currency into the Base Currency at such rate prevailing at the time of the calculation as the Firm reasonably selects.</w:t>
      </w:r>
      <w:bookmarkEnd w:id="147"/>
    </w:p>
    <w:p w14:paraId="1336BD4F" w14:textId="5AAE7DAD" w:rsidR="00057440" w:rsidRDefault="00057440" w:rsidP="00094771">
      <w:pPr>
        <w:pStyle w:val="Level2"/>
      </w:pPr>
      <w:r w:rsidRPr="00037C42">
        <w:rPr>
          <w:b/>
          <w:bCs/>
          <w:i/>
          <w:iCs/>
        </w:rPr>
        <w:t>Third Party Rights</w:t>
      </w:r>
      <w:r w:rsidRPr="001A6624">
        <w:rPr>
          <w:b/>
          <w:bCs/>
          <w:i/>
          <w:iCs/>
        </w:rPr>
        <w:t>:</w:t>
      </w:r>
      <w:r>
        <w:t xml:space="preserve"> This </w:t>
      </w:r>
      <w:r w:rsidR="00691AD7">
        <w:t xml:space="preserve">Client Clearing </w:t>
      </w:r>
      <w:r>
        <w:t xml:space="preserve">Agreement will be for the benefit of and binding upon the Firm and the Client and their respective successors and assigns. A person who is not a party to this </w:t>
      </w:r>
      <w:r w:rsidR="00691AD7">
        <w:t xml:space="preserve">Client Clearing </w:t>
      </w:r>
      <w:r>
        <w:t xml:space="preserve">Agreement has no rights under the Contracts (Rights of Third Parties) Act 1999, except </w:t>
      </w:r>
      <w:r w:rsidRPr="00B35030">
        <w:t>that each Associate may</w:t>
      </w:r>
      <w:r>
        <w:t xml:space="preserve"> enforce terms which purport to confer a benefit on it in accordance with the terms of this </w:t>
      </w:r>
      <w:r w:rsidR="00691AD7">
        <w:t xml:space="preserve">Client Clearing </w:t>
      </w:r>
      <w:r>
        <w:t>Agreement and the Contracts (Rights of Third Parties) Act 1999.</w:t>
      </w:r>
    </w:p>
    <w:p w14:paraId="360935E0" w14:textId="54F465E9" w:rsidR="00057440" w:rsidRDefault="00057440" w:rsidP="00094771">
      <w:pPr>
        <w:pStyle w:val="Level2"/>
      </w:pPr>
      <w:bookmarkStart w:id="148" w:name="_Ref161351255"/>
      <w:r w:rsidRPr="00037C42">
        <w:rPr>
          <w:b/>
          <w:bCs/>
          <w:i/>
          <w:iCs/>
        </w:rPr>
        <w:t>Transfer:</w:t>
      </w:r>
      <w:r>
        <w:t xml:space="preserve"> The Client will not assign, charge or otherwise transfer or purport to assign, charge or otherwise transfer the Cli</w:t>
      </w:r>
      <w:r w:rsidR="0076033E">
        <w:t>e</w:t>
      </w:r>
      <w:r>
        <w:t>nt's rights or obligations under th</w:t>
      </w:r>
      <w:r w:rsidR="00B83E82">
        <w:t>e</w:t>
      </w:r>
      <w:r>
        <w:t xml:space="preserve"> Agreement, or any interest in th</w:t>
      </w:r>
      <w:r w:rsidR="00B83E82">
        <w:t>e</w:t>
      </w:r>
      <w:r>
        <w:t xml:space="preserve"> Agreement, without the F</w:t>
      </w:r>
      <w:r w:rsidR="0076033E">
        <w:t>ir</w:t>
      </w:r>
      <w:r>
        <w:t>m's prior written consent, and any purported assignment, charge or transfer in violation of this clause</w:t>
      </w:r>
      <w:r w:rsidR="00AB607A">
        <w:t xml:space="preserve"> </w:t>
      </w:r>
      <w:r w:rsidR="00AB607A">
        <w:fldChar w:fldCharType="begin" w:fldLock="1"/>
      </w:r>
      <w:r w:rsidR="00AB607A">
        <w:instrText xml:space="preserve"> REF _Ref161351255 \r \h </w:instrText>
      </w:r>
      <w:r w:rsidR="00AB607A">
        <w:fldChar w:fldCharType="separate"/>
      </w:r>
      <w:r w:rsidR="009646BC">
        <w:t>30.3</w:t>
      </w:r>
      <w:r w:rsidR="00AB607A">
        <w:fldChar w:fldCharType="end"/>
      </w:r>
      <w:r>
        <w:t xml:space="preserve"> will be void. The Firm may transfer its rights and obligations under th</w:t>
      </w:r>
      <w:r w:rsidR="00B83E82">
        <w:t>e</w:t>
      </w:r>
      <w:r>
        <w:t xml:space="preserve"> Agreement without the Cli</w:t>
      </w:r>
      <w:r w:rsidR="0076033E">
        <w:t>e</w:t>
      </w:r>
      <w:r>
        <w:t>nt's consent pursuant to a consolidation or amalgamation with, or merger with or into, or transfer of all or substantially all its assets to, another entity.</w:t>
      </w:r>
      <w:bookmarkEnd w:id="148"/>
    </w:p>
    <w:p w14:paraId="1A64925E" w14:textId="29AE7CE8" w:rsidR="00057440" w:rsidRPr="00037C42" w:rsidRDefault="00057440" w:rsidP="00094771">
      <w:pPr>
        <w:pStyle w:val="Level2"/>
      </w:pPr>
      <w:r w:rsidRPr="00037C42">
        <w:rPr>
          <w:b/>
          <w:bCs/>
          <w:i/>
          <w:iCs/>
        </w:rPr>
        <w:t>Time of essence:</w:t>
      </w:r>
      <w:r w:rsidRPr="00037C42">
        <w:t xml:space="preserve"> Time is of the essence in respect of all obligations of the Client under th</w:t>
      </w:r>
      <w:r w:rsidR="00B83E82">
        <w:t>e</w:t>
      </w:r>
      <w:r w:rsidRPr="00037C42">
        <w:t xml:space="preserve"> Agreement</w:t>
      </w:r>
      <w:r w:rsidR="00037C42" w:rsidRPr="00037C42">
        <w:t>.</w:t>
      </w:r>
    </w:p>
    <w:p w14:paraId="1F4FD846" w14:textId="2086BEB5" w:rsidR="00057440" w:rsidRPr="00037C42" w:rsidRDefault="00057440" w:rsidP="00094771">
      <w:pPr>
        <w:pStyle w:val="Level2"/>
      </w:pPr>
      <w:r w:rsidRPr="00037C42">
        <w:rPr>
          <w:b/>
          <w:bCs/>
          <w:i/>
          <w:iCs/>
        </w:rPr>
        <w:t>Rights and remedies</w:t>
      </w:r>
      <w:r w:rsidRPr="001A6624">
        <w:rPr>
          <w:b/>
          <w:bCs/>
          <w:i/>
          <w:iCs/>
        </w:rPr>
        <w:t xml:space="preserve">: </w:t>
      </w:r>
      <w:r w:rsidRPr="00037C42">
        <w:t>The rights and remedies provided under th</w:t>
      </w:r>
      <w:r w:rsidR="00B83E82">
        <w:t>e</w:t>
      </w:r>
      <w:r w:rsidRPr="00037C42">
        <w:t xml:space="preserve"> Agreement are cumulative and not exclusive of those provided by law. The Firm will be under no obligation to exercise any right or remedy available to it either at all or in a manner or at a time beneficial to the Client. No failure by the Firm to exercise, or delay by the Firm in exercising, any of the F</w:t>
      </w:r>
      <w:r w:rsidR="0076033E">
        <w:t>i</w:t>
      </w:r>
      <w:r w:rsidRPr="00037C42">
        <w:t>rm's rights under th</w:t>
      </w:r>
      <w:r w:rsidR="00DB150D">
        <w:t>e</w:t>
      </w:r>
      <w:r w:rsidRPr="00037C42">
        <w:t xml:space="preserve"> Agreement</w:t>
      </w:r>
      <w:r w:rsidR="00467DC7">
        <w:t xml:space="preserve"> </w:t>
      </w:r>
      <w:r w:rsidRPr="00037C42">
        <w:t>or otherwise will operate as a waiver of those or any other rights or remedies. No single or partial exercise of a right or remedy will prevent further exercise of that right or remedy or the exercise of another right or remedy.</w:t>
      </w:r>
    </w:p>
    <w:p w14:paraId="5528AAC7" w14:textId="04D2F92D" w:rsidR="00057440" w:rsidRPr="00037C42" w:rsidRDefault="00057440" w:rsidP="00094771">
      <w:pPr>
        <w:pStyle w:val="Level2"/>
      </w:pPr>
      <w:r w:rsidRPr="00037C42">
        <w:rPr>
          <w:b/>
          <w:bCs/>
          <w:i/>
          <w:iCs/>
        </w:rPr>
        <w:t>Partial invalidity</w:t>
      </w:r>
      <w:r w:rsidRPr="001A6624">
        <w:rPr>
          <w:b/>
          <w:bCs/>
          <w:i/>
          <w:iCs/>
        </w:rPr>
        <w:t>:</w:t>
      </w:r>
      <w:r w:rsidRPr="00037C42">
        <w:t xml:space="preserve"> If, at any time, any provision of th</w:t>
      </w:r>
      <w:r w:rsidR="00DB150D">
        <w:t>e</w:t>
      </w:r>
      <w:r w:rsidRPr="00037C42">
        <w:t xml:space="preserve"> Agreement</w:t>
      </w:r>
      <w:r w:rsidR="009251D8" w:rsidRPr="009251D8">
        <w:t xml:space="preserve"> </w:t>
      </w:r>
      <w:r w:rsidRPr="00037C42">
        <w:t>is or becomes illegal, invalid or unenforceable in any respect under the law of any jurisdiction, neither the legality, validity or enforceability of the remaining provisions of th</w:t>
      </w:r>
      <w:r w:rsidR="00DB150D">
        <w:t>e</w:t>
      </w:r>
      <w:r w:rsidRPr="00037C42">
        <w:t xml:space="preserve"> Agreement, nor the legality, validity or enforceability of those provision under the law of any other jurisdiction will in any way be affected or impaired.</w:t>
      </w:r>
    </w:p>
    <w:p w14:paraId="142C7AB9" w14:textId="053DB315" w:rsidR="00057440" w:rsidRPr="00037C42" w:rsidRDefault="00057440" w:rsidP="00094771">
      <w:pPr>
        <w:pStyle w:val="Level2"/>
      </w:pPr>
      <w:bookmarkStart w:id="149" w:name="_Ref133422165"/>
      <w:r w:rsidRPr="00037C42">
        <w:lastRenderedPageBreak/>
        <w:t>[</w:t>
      </w:r>
      <w:r w:rsidRPr="00037C42">
        <w:rPr>
          <w:b/>
          <w:bCs/>
          <w:i/>
          <w:iCs/>
        </w:rPr>
        <w:t>Mandatory CCP Provisions</w:t>
      </w:r>
      <w:r w:rsidRPr="001A6624">
        <w:rPr>
          <w:b/>
          <w:bCs/>
          <w:i/>
          <w:iCs/>
        </w:rPr>
        <w:t>:</w:t>
      </w:r>
      <w:r w:rsidRPr="00037C42">
        <w:t xml:space="preserve"> In entering into </w:t>
      </w:r>
      <w:r w:rsidR="00037C42">
        <w:t xml:space="preserve">this </w:t>
      </w:r>
      <w:r w:rsidR="005E6441">
        <w:t xml:space="preserve">Client Clearing </w:t>
      </w:r>
      <w:r w:rsidR="00037C42">
        <w:t>Agreement</w:t>
      </w:r>
      <w:r w:rsidRPr="00037C42">
        <w:t>, [each of the Firm and] the Client represents that it is aware of the Rules of the related Clearing Service and agrees to be bound by and comply with the Mandatory CCP Provisions of the related Clearing Service.]</w:t>
      </w:r>
      <w:bookmarkEnd w:id="149"/>
      <w:r w:rsidRPr="00037C42">
        <w:t xml:space="preserve"> </w:t>
      </w:r>
    </w:p>
    <w:p w14:paraId="096CCA4D" w14:textId="0566FA83" w:rsidR="00057440" w:rsidRPr="00037C42" w:rsidRDefault="00057440" w:rsidP="00094771">
      <w:pPr>
        <w:pStyle w:val="Level2"/>
      </w:pPr>
      <w:r w:rsidRPr="00037C42">
        <w:rPr>
          <w:b/>
          <w:bCs/>
          <w:i/>
          <w:iCs/>
        </w:rPr>
        <w:t>Counterparts:</w:t>
      </w:r>
      <w:r w:rsidRPr="00037C42">
        <w:t xml:space="preserve"> This </w:t>
      </w:r>
      <w:r w:rsidR="005E6441">
        <w:t xml:space="preserve">Client Clearing </w:t>
      </w:r>
      <w:r w:rsidRPr="00037C42">
        <w:t xml:space="preserve">Agreement may be executed in any number of counterparts, and this has the same effect as if the signatures on the counterparts were on a single copy of this </w:t>
      </w:r>
      <w:r w:rsidR="005E6441">
        <w:t xml:space="preserve">Client Clearing </w:t>
      </w:r>
      <w:r w:rsidRPr="00037C42">
        <w:t>Agreement.</w:t>
      </w:r>
    </w:p>
    <w:p w14:paraId="050E83A1" w14:textId="2F33FF7A" w:rsidR="00840298" w:rsidRPr="0094179B" w:rsidRDefault="00057440" w:rsidP="008E3EF4">
      <w:pPr>
        <w:pStyle w:val="Level2"/>
      </w:pPr>
      <w:r w:rsidRPr="008E3EF4">
        <w:rPr>
          <w:b/>
          <w:bCs/>
          <w:i/>
          <w:iCs/>
        </w:rPr>
        <w:t>Entire Agreement:</w:t>
      </w:r>
      <w:r w:rsidRPr="0094179B">
        <w:t xml:space="preserve"> This </w:t>
      </w:r>
      <w:r w:rsidR="006D5D83">
        <w:t xml:space="preserve">Client Clearing </w:t>
      </w:r>
      <w:r w:rsidRPr="0094179B">
        <w:t>Agreement</w:t>
      </w:r>
      <w:r w:rsidR="00440C24">
        <w:t xml:space="preserve"> </w:t>
      </w:r>
      <w:r w:rsidRPr="0094179B">
        <w:t>constitutes the entire agreement and understanding of the Parties with respect to its subject matter</w:t>
      </w:r>
      <w:r w:rsidR="00440C24">
        <w:t xml:space="preserve"> and</w:t>
      </w:r>
      <w:r w:rsidR="004E3FEC">
        <w:t>,</w:t>
      </w:r>
      <w:r w:rsidR="00440C24">
        <w:t xml:space="preserve"> together with the Segregated Assets Arrangement</w:t>
      </w:r>
      <w:r w:rsidR="004E3FEC">
        <w:t>,</w:t>
      </w:r>
      <w:r w:rsidR="00440C24">
        <w:t xml:space="preserve"> constitutes the singular, entire arrangement between the Firm and the Client with regard to the Services</w:t>
      </w:r>
      <w:r w:rsidRPr="0094179B">
        <w:t xml:space="preserve">. The Client acknowledges that in entering into this </w:t>
      </w:r>
      <w:r w:rsidR="00C73103">
        <w:t xml:space="preserve">Client Clearing </w:t>
      </w:r>
      <w:r w:rsidRPr="0094179B">
        <w:t>Agreement it has not relied on any oral or written representation, warranty or other assurance (except as provided for or referred to in this</w:t>
      </w:r>
      <w:r w:rsidR="00C73103">
        <w:t xml:space="preserve"> Client Clearing</w:t>
      </w:r>
      <w:r w:rsidRPr="0094179B">
        <w:t xml:space="preserve"> Agreement) and waives all rights and remedies which might otherwise be available to it in respect thereof, except that nothing in this</w:t>
      </w:r>
      <w:r w:rsidR="00214D6F">
        <w:t xml:space="preserve"> Client Clearing</w:t>
      </w:r>
      <w:r w:rsidRPr="0094179B">
        <w:t xml:space="preserve"> Agreement will limit or exclude any liability of a Party for fraud.</w:t>
      </w:r>
    </w:p>
    <w:p w14:paraId="2F2E9F8B" w14:textId="7570BFA1" w:rsidR="009220B9" w:rsidRDefault="009220B9" w:rsidP="00623726">
      <w:pPr>
        <w:pStyle w:val="Level1"/>
      </w:pPr>
      <w:r>
        <w:t xml:space="preserve">GOVERNING LAW AND JURISDICTION </w:t>
      </w:r>
    </w:p>
    <w:p w14:paraId="166C87F1" w14:textId="1CF56F93" w:rsidR="009220B9" w:rsidRDefault="009220B9" w:rsidP="00094771">
      <w:pPr>
        <w:pStyle w:val="Level2"/>
      </w:pPr>
      <w:r>
        <w:rPr>
          <w:b/>
          <w:bCs/>
          <w:i/>
          <w:iCs/>
        </w:rPr>
        <w:t>Governing law</w:t>
      </w:r>
      <w:r w:rsidR="00BD5A9B">
        <w:rPr>
          <w:b/>
          <w:bCs/>
          <w:i/>
          <w:iCs/>
        </w:rPr>
        <w:t>:</w:t>
      </w:r>
      <w:r>
        <w:rPr>
          <w:b/>
          <w:bCs/>
          <w:i/>
          <w:iCs/>
        </w:rPr>
        <w:t xml:space="preserve"> </w:t>
      </w:r>
      <w:r w:rsidR="000165A4">
        <w:t xml:space="preserve">This </w:t>
      </w:r>
      <w:r w:rsidR="00BE0A98">
        <w:t xml:space="preserve">Client Clearing </w:t>
      </w:r>
      <w:r w:rsidR="000165A4">
        <w:t>Agreement</w:t>
      </w:r>
      <w:r w:rsidR="00057440">
        <w:t xml:space="preserve"> and </w:t>
      </w:r>
      <w:r w:rsidR="00057440" w:rsidRPr="00057440">
        <w:t xml:space="preserve">all non-contractual obligations and other matters arising from or in connection with this </w:t>
      </w:r>
      <w:r w:rsidR="00BE0A98">
        <w:t xml:space="preserve">Client Clearing </w:t>
      </w:r>
      <w:r w:rsidR="00057440" w:rsidRPr="00057440">
        <w:t>Agreement will be governed by and construed in accordance with English law.</w:t>
      </w:r>
    </w:p>
    <w:p w14:paraId="6C49BB22" w14:textId="1B17680C" w:rsidR="00057440" w:rsidRDefault="00057440" w:rsidP="00094771">
      <w:pPr>
        <w:pStyle w:val="Level2"/>
      </w:pPr>
      <w:bookmarkStart w:id="150" w:name="_Ref133314014"/>
      <w:r w:rsidRPr="00237B71">
        <w:t>[</w:t>
      </w:r>
      <w:r w:rsidRPr="00057440">
        <w:rPr>
          <w:b/>
          <w:bCs/>
          <w:i/>
          <w:iCs/>
        </w:rPr>
        <w:t>Jurisdiction</w:t>
      </w:r>
      <w:r w:rsidRPr="001A6624">
        <w:rPr>
          <w:b/>
          <w:bCs/>
          <w:i/>
          <w:iCs/>
        </w:rPr>
        <w:t>:</w:t>
      </w:r>
      <w:r>
        <w:t xml:space="preserve"> Each of the Parties irrevocably:</w:t>
      </w:r>
      <w:bookmarkEnd w:id="150"/>
    </w:p>
    <w:p w14:paraId="639D09CD" w14:textId="2C4FDE15" w:rsidR="00057440" w:rsidRDefault="00057440" w:rsidP="00623726">
      <w:pPr>
        <w:pStyle w:val="Level3"/>
      </w:pPr>
      <w:r>
        <w:t xml:space="preserve">agrees, subject to </w:t>
      </w:r>
      <w:r>
        <w:fldChar w:fldCharType="begin" w:fldLock="1"/>
      </w:r>
      <w:r>
        <w:instrText xml:space="preserve"> REF _Ref133313937 \w \h </w:instrText>
      </w:r>
      <w:r>
        <w:fldChar w:fldCharType="separate"/>
      </w:r>
      <w:r w:rsidR="009646BC">
        <w:t>31.2.3</w:t>
      </w:r>
      <w:r>
        <w:fldChar w:fldCharType="end"/>
      </w:r>
      <w:r>
        <w:t>, that the courts of England and Wales have exclusive jurisdiction to settle any dispute arising from or in connection with th</w:t>
      </w:r>
      <w:r w:rsidR="00214D6F">
        <w:t>e</w:t>
      </w:r>
      <w:r>
        <w:t xml:space="preserve"> Agreement and, for that purpose, submits to the jurisdiction of the courts of England and Wales; </w:t>
      </w:r>
    </w:p>
    <w:p w14:paraId="1A8DE075" w14:textId="63413EAA" w:rsidR="00057440" w:rsidRDefault="00057440" w:rsidP="00623726">
      <w:pPr>
        <w:pStyle w:val="Level3"/>
      </w:pPr>
      <w:r>
        <w:t>waives any grounds for objection that it may otherwise have to the courts of England and Wales settling any disputes arising from or in connection with th</w:t>
      </w:r>
      <w:r w:rsidR="00214D6F">
        <w:t xml:space="preserve">e </w:t>
      </w:r>
      <w:r>
        <w:t>Agreement and, accordingly, agrees not to contend that the courts of England and Wales are an inappropriate or inconvenient forum or otherwise should not exercise their jurisdiction to settle any such dispute; and</w:t>
      </w:r>
    </w:p>
    <w:p w14:paraId="4FE899F5" w14:textId="0EA457A1" w:rsidR="00057440" w:rsidRDefault="00057440" w:rsidP="00623726">
      <w:pPr>
        <w:pStyle w:val="Level3"/>
      </w:pPr>
      <w:bookmarkStart w:id="151" w:name="_Ref133313937"/>
      <w:r>
        <w:t xml:space="preserve">agrees that nothing in this clause </w:t>
      </w:r>
      <w:r>
        <w:rPr>
          <w:highlight w:val="green"/>
        </w:rPr>
        <w:fldChar w:fldCharType="begin" w:fldLock="1"/>
      </w:r>
      <w:r>
        <w:instrText xml:space="preserve"> REF _Ref133314014 \w \h </w:instrText>
      </w:r>
      <w:r>
        <w:rPr>
          <w:highlight w:val="green"/>
        </w:rPr>
      </w:r>
      <w:r>
        <w:rPr>
          <w:highlight w:val="green"/>
        </w:rPr>
        <w:fldChar w:fldCharType="separate"/>
      </w:r>
      <w:r w:rsidR="009646BC">
        <w:t>31.2</w:t>
      </w:r>
      <w:r>
        <w:rPr>
          <w:highlight w:val="green"/>
        </w:rPr>
        <w:fldChar w:fldCharType="end"/>
      </w:r>
      <w:r>
        <w:t xml:space="preserve"> prevents the Firm from taking proceedings in any other court with jurisdiction or, to the extent allowed by law, from taking concurrent proceedings in more than one court.]</w:t>
      </w:r>
      <w:bookmarkEnd w:id="151"/>
    </w:p>
    <w:p w14:paraId="29672159" w14:textId="77777777" w:rsidR="00057440" w:rsidRDefault="00057440" w:rsidP="00057440">
      <w:pPr>
        <w:pStyle w:val="Level2"/>
        <w:numPr>
          <w:ilvl w:val="0"/>
          <w:numId w:val="0"/>
        </w:numPr>
        <w:ind w:left="680"/>
        <w:jc w:val="center"/>
      </w:pPr>
      <w:r>
        <w:t>[OR]</w:t>
      </w:r>
    </w:p>
    <w:p w14:paraId="747728E6" w14:textId="3432FA7B" w:rsidR="00057440" w:rsidRDefault="00057440" w:rsidP="00623726">
      <w:pPr>
        <w:pStyle w:val="Level2"/>
        <w:numPr>
          <w:ilvl w:val="1"/>
          <w:numId w:val="57"/>
        </w:numPr>
      </w:pPr>
      <w:r>
        <w:t>[</w:t>
      </w:r>
      <w:r w:rsidRPr="00057440">
        <w:rPr>
          <w:b/>
          <w:bCs/>
          <w:i/>
          <w:iCs/>
        </w:rPr>
        <w:t>Jurisdiction</w:t>
      </w:r>
      <w:r w:rsidRPr="001A6624">
        <w:rPr>
          <w:b/>
          <w:bCs/>
          <w:i/>
          <w:iCs/>
        </w:rPr>
        <w:t>:</w:t>
      </w:r>
      <w:r>
        <w:t xml:space="preserve"> Each of the Parties irrevocably:</w:t>
      </w:r>
    </w:p>
    <w:p w14:paraId="1A68EA08" w14:textId="590DECDA" w:rsidR="00057440" w:rsidRDefault="00057440" w:rsidP="00623726">
      <w:pPr>
        <w:pStyle w:val="Level3"/>
      </w:pPr>
      <w:r>
        <w:t>agrees that the courts of England and Wales have exclusive jurisdiction to settle any dispute arising from or in connection with th</w:t>
      </w:r>
      <w:r w:rsidR="00A52B77">
        <w:t>e</w:t>
      </w:r>
      <w:r w:rsidR="00BE0A98">
        <w:t xml:space="preserve"> </w:t>
      </w:r>
      <w:r>
        <w:t>Agreement and, for that purpose, submits to the jurisdiction of the courts of England and Wales; and</w:t>
      </w:r>
    </w:p>
    <w:p w14:paraId="45E6ECBA" w14:textId="06445305" w:rsidR="00057440" w:rsidRDefault="00057440" w:rsidP="00623726">
      <w:pPr>
        <w:pStyle w:val="Level3"/>
      </w:pPr>
      <w:r>
        <w:t>waives any grounds for objection that it may otherwise have to the courts of England and Wales settling any disputes arising from or in connection with th</w:t>
      </w:r>
      <w:r w:rsidR="00A52B77">
        <w:t xml:space="preserve">e </w:t>
      </w:r>
      <w:r>
        <w:t xml:space="preserve">Agreement and, accordingly, agrees not to contend that the courts of England and Wales are an </w:t>
      </w:r>
      <w:r>
        <w:lastRenderedPageBreak/>
        <w:t>inappropriate or inconvenient forum or otherwise should not exercise their jurisdiction to settle any such dispute.]</w:t>
      </w:r>
    </w:p>
    <w:p w14:paraId="471481C6" w14:textId="4622EE12" w:rsidR="00057440" w:rsidRDefault="00057440" w:rsidP="00094771">
      <w:pPr>
        <w:pStyle w:val="Level2"/>
      </w:pPr>
      <w:r w:rsidRPr="00057440">
        <w:rPr>
          <w:b/>
          <w:bCs/>
          <w:i/>
          <w:iCs/>
        </w:rPr>
        <w:t>Service of process:</w:t>
      </w:r>
      <w:r>
        <w:t xml:space="preserve"> If the Client is situated outside England and Wales, process by which any </w:t>
      </w:r>
      <w:r w:rsidR="00F45EF0">
        <w:t xml:space="preserve">proceedings </w:t>
      </w:r>
      <w:r>
        <w:t>in England are begun may be served on the Client by being delivered to the address in England or Wales nominated by the Client for this purpose in the Annex. This does not affect the F</w:t>
      </w:r>
      <w:r w:rsidR="0076033E">
        <w:t>i</w:t>
      </w:r>
      <w:r>
        <w:t>rm's right to serve process in another manner permitted by law.</w:t>
      </w:r>
    </w:p>
    <w:p w14:paraId="6F76946B" w14:textId="31EC2BD8" w:rsidR="00057440" w:rsidRPr="009220B9" w:rsidRDefault="00057440" w:rsidP="00094771">
      <w:pPr>
        <w:pStyle w:val="Level2"/>
      </w:pPr>
      <w:r>
        <w:t>[</w:t>
      </w:r>
      <w:r w:rsidRPr="00057440">
        <w:rPr>
          <w:b/>
          <w:bCs/>
          <w:i/>
          <w:iCs/>
        </w:rPr>
        <w:t>Waiver of immunity and consent to enforcement:</w:t>
      </w:r>
      <w:r>
        <w:t xml:space="preserve"> The Client irrevocably waives to the fullest extent permitted by applicable law, with respect to the Client and its revenue and assets (irrespective of their use or intended use), all immunity on the grounds of sovereignty or other similar grounds from: (i) suit; (ii) jurisdiction of any courts; (iii) relief by way of injunction, order for specific performance or for recovery of property; (iv) attachment of assets (whether before or after judgment); and (v) execution or enforcement of any judgment to which the Client or the Cli</w:t>
      </w:r>
      <w:r w:rsidR="0076033E">
        <w:t>e</w:t>
      </w:r>
      <w:r>
        <w:t xml:space="preserve">nt's revenues or assets might otherwise be entitled in any </w:t>
      </w:r>
      <w:r w:rsidR="00F45EF0">
        <w:t xml:space="preserve">proceedings </w:t>
      </w:r>
      <w:r>
        <w:t xml:space="preserve">in the courts of any jurisdiction and irrevocably agrees that the Client will not claim any immunity in any </w:t>
      </w:r>
      <w:r w:rsidR="00F45EF0">
        <w:t>proceedings</w:t>
      </w:r>
      <w:r>
        <w:t xml:space="preserve">. The Client consents generally in respect of any </w:t>
      </w:r>
      <w:r w:rsidR="00F45EF0">
        <w:t xml:space="preserve">proceedings </w:t>
      </w:r>
      <w:r>
        <w:t xml:space="preserve">to the giving of any relief or the issue of any process in connection with such </w:t>
      </w:r>
      <w:r w:rsidR="00F45EF0">
        <w:t>proceedings</w:t>
      </w:r>
      <w:r>
        <w:t xml:space="preserve">, including the making, enforcement or execution against any property whatsoever (irrespective of its use or intended use) of any order or judgment which may be made or given in such </w:t>
      </w:r>
      <w:r w:rsidR="00F45EF0">
        <w:t>proceedings</w:t>
      </w:r>
      <w:r>
        <w:t xml:space="preserve">.] </w:t>
      </w:r>
    </w:p>
    <w:p w14:paraId="4106A820" w14:textId="6C77135C" w:rsidR="00291F77" w:rsidRDefault="00291F77" w:rsidP="00623726">
      <w:pPr>
        <w:pStyle w:val="Level1"/>
      </w:pPr>
      <w:r>
        <w:t>INTERPRETATION</w:t>
      </w:r>
    </w:p>
    <w:p w14:paraId="4569A6DF" w14:textId="7F1EDA34" w:rsidR="00291F77" w:rsidRDefault="00291F77" w:rsidP="00094771">
      <w:pPr>
        <w:pStyle w:val="Level2"/>
      </w:pPr>
      <w:r>
        <w:rPr>
          <w:b/>
          <w:bCs/>
          <w:i/>
          <w:iCs/>
        </w:rPr>
        <w:t xml:space="preserve">Definitions: </w:t>
      </w:r>
      <w:r>
        <w:t xml:space="preserve">In this </w:t>
      </w:r>
      <w:r w:rsidR="00BE0A98">
        <w:t xml:space="preserve">Client Clearing </w:t>
      </w:r>
      <w:r>
        <w:t>Agreemen</w:t>
      </w:r>
      <w:r w:rsidR="0076033E">
        <w:t>t</w:t>
      </w:r>
      <w:r>
        <w:t>:</w:t>
      </w:r>
    </w:p>
    <w:p w14:paraId="3D952DA4" w14:textId="3829E8AD" w:rsidR="00D96A4D" w:rsidRDefault="008A5B1C" w:rsidP="004E00A3">
      <w:pPr>
        <w:pStyle w:val="Level2"/>
        <w:numPr>
          <w:ilvl w:val="0"/>
          <w:numId w:val="0"/>
        </w:numPr>
        <w:ind w:left="680"/>
      </w:pPr>
      <w:r>
        <w:t>“</w:t>
      </w:r>
      <w:r w:rsidR="00D96A4D" w:rsidRPr="00D96A4D">
        <w:rPr>
          <w:b/>
          <w:bCs/>
        </w:rPr>
        <w:t>Acceptable Mar</w:t>
      </w:r>
      <w:r w:rsidR="00F65C1A">
        <w:rPr>
          <w:b/>
          <w:bCs/>
        </w:rPr>
        <w:t>g</w:t>
      </w:r>
      <w:r w:rsidR="00D96A4D" w:rsidRPr="00D96A4D">
        <w:rPr>
          <w:b/>
          <w:bCs/>
        </w:rPr>
        <w:t>in</w:t>
      </w:r>
      <w:r>
        <w:t>”</w:t>
      </w:r>
      <w:r w:rsidR="00D96A4D" w:rsidRPr="00D96A4D">
        <w:t xml:space="preserve"> means cash and non-cash assets designated as such by the Firm from time </w:t>
      </w:r>
      <w:r w:rsidR="00D96A4D" w:rsidRPr="00E05F9F">
        <w:t>to time;</w:t>
      </w:r>
    </w:p>
    <w:p w14:paraId="571F160E" w14:textId="32F3A34F" w:rsidR="00D76236" w:rsidRDefault="00D76236" w:rsidP="004E00A3">
      <w:pPr>
        <w:pStyle w:val="Level2"/>
        <w:numPr>
          <w:ilvl w:val="0"/>
          <w:numId w:val="0"/>
        </w:numPr>
        <w:ind w:left="680"/>
      </w:pPr>
      <w:r>
        <w:t>“</w:t>
      </w:r>
      <w:r>
        <w:rPr>
          <w:b/>
          <w:bCs/>
        </w:rPr>
        <w:t>Account</w:t>
      </w:r>
      <w:r>
        <w:t xml:space="preserve">” has the meaning given to that term in clause </w:t>
      </w:r>
      <w:r w:rsidR="00B06E31">
        <w:fldChar w:fldCharType="begin" w:fldLock="1"/>
      </w:r>
      <w:r w:rsidR="00B06E31">
        <w:instrText xml:space="preserve"> REF _Ref165553028 \r \h </w:instrText>
      </w:r>
      <w:r w:rsidR="00B06E31">
        <w:fldChar w:fldCharType="separate"/>
      </w:r>
      <w:r w:rsidR="009646BC">
        <w:t>2.8</w:t>
      </w:r>
      <w:r w:rsidR="00B06E31">
        <w:fldChar w:fldCharType="end"/>
      </w:r>
      <w:r>
        <w:t xml:space="preserve"> (</w:t>
      </w:r>
      <w:r>
        <w:rPr>
          <w:i/>
          <w:iCs/>
        </w:rPr>
        <w:t>Records</w:t>
      </w:r>
      <w:r>
        <w:t>);</w:t>
      </w:r>
    </w:p>
    <w:p w14:paraId="1F928179" w14:textId="50474817" w:rsidR="00D96A4D" w:rsidRDefault="008A5B1C" w:rsidP="00D96A4D">
      <w:pPr>
        <w:pStyle w:val="Level2"/>
        <w:numPr>
          <w:ilvl w:val="0"/>
          <w:numId w:val="0"/>
        </w:numPr>
        <w:ind w:left="680"/>
      </w:pPr>
      <w:r>
        <w:t>“</w:t>
      </w:r>
      <w:r w:rsidR="00F65C1A" w:rsidRPr="00D96A4D">
        <w:rPr>
          <w:b/>
          <w:bCs/>
        </w:rPr>
        <w:t>Affiliate</w:t>
      </w:r>
      <w:r>
        <w:t>”</w:t>
      </w:r>
      <w:r w:rsidR="00D96A4D" w:rsidRPr="00D96A4D">
        <w:t xml:space="preserve"> means, in relation to the Firm or the Client (as applicable), an undertaking in the same grou</w:t>
      </w:r>
      <w:r w:rsidR="0076033E">
        <w:t>p</w:t>
      </w:r>
      <w:r w:rsidR="00D96A4D" w:rsidRPr="00D96A4D">
        <w:t>;</w:t>
      </w:r>
    </w:p>
    <w:p w14:paraId="08918C9D" w14:textId="20834E66" w:rsidR="00A92A12" w:rsidRDefault="008A5B1C" w:rsidP="00A92A12">
      <w:pPr>
        <w:pStyle w:val="Level2"/>
        <w:numPr>
          <w:ilvl w:val="0"/>
          <w:numId w:val="0"/>
        </w:numPr>
        <w:ind w:left="680"/>
      </w:pPr>
      <w:r>
        <w:t>“</w:t>
      </w:r>
      <w:r w:rsidR="00A92A12" w:rsidRPr="00A92A12">
        <w:rPr>
          <w:b/>
          <w:bCs/>
        </w:rPr>
        <w:t xml:space="preserve">Agreed </w:t>
      </w:r>
      <w:r w:rsidR="00F65C1A">
        <w:rPr>
          <w:b/>
          <w:bCs/>
        </w:rPr>
        <w:t>C</w:t>
      </w:r>
      <w:r w:rsidR="00A92A12" w:rsidRPr="00A92A12">
        <w:rPr>
          <w:b/>
          <w:bCs/>
        </w:rPr>
        <w:t>CP</w:t>
      </w:r>
      <w:r w:rsidRPr="00A55351">
        <w:t>”</w:t>
      </w:r>
      <w:r w:rsidR="00A92A12">
        <w:t xml:space="preserve"> means any central counterparty clearing organisation specified as such in Table A of the Annex or otherwise agreed by the Parties to be an Agreed CCP from time to time</w:t>
      </w:r>
      <w:r w:rsidR="0076033E">
        <w:t>;</w:t>
      </w:r>
      <w:r w:rsidR="00A92A12">
        <w:t xml:space="preserve"> </w:t>
      </w:r>
    </w:p>
    <w:p w14:paraId="686BC776" w14:textId="4BC9C51C" w:rsidR="009D3F7D" w:rsidRPr="009D3F7D" w:rsidRDefault="008A5B1C" w:rsidP="00A92A12">
      <w:pPr>
        <w:pStyle w:val="Level2"/>
        <w:numPr>
          <w:ilvl w:val="0"/>
          <w:numId w:val="0"/>
        </w:numPr>
        <w:ind w:left="680"/>
      </w:pPr>
      <w:r>
        <w:t>“</w:t>
      </w:r>
      <w:r w:rsidR="00A92A12" w:rsidRPr="00A92A12">
        <w:rPr>
          <w:b/>
          <w:bCs/>
        </w:rPr>
        <w:t>Agreed CCP Serv</w:t>
      </w:r>
      <w:r w:rsidR="00F65C1A">
        <w:rPr>
          <w:b/>
          <w:bCs/>
        </w:rPr>
        <w:t>i</w:t>
      </w:r>
      <w:r w:rsidR="00A92A12" w:rsidRPr="00A92A12">
        <w:rPr>
          <w:b/>
          <w:bCs/>
        </w:rPr>
        <w:t>ce</w:t>
      </w:r>
      <w:r w:rsidRPr="00A55351">
        <w:t>”</w:t>
      </w:r>
      <w:r w:rsidR="00A92A12">
        <w:t xml:space="preserve"> means any </w:t>
      </w:r>
      <w:r w:rsidR="004900D9">
        <w:t>CCP</w:t>
      </w:r>
      <w:r w:rsidR="00A92A12">
        <w:t xml:space="preserve"> service specified as such in Table A of the Annex or otherwise agreed by the Parties to be an Agreed CCP Service from time to time</w:t>
      </w:r>
      <w:r w:rsidR="0076033E">
        <w:t>;</w:t>
      </w:r>
    </w:p>
    <w:p w14:paraId="2314EDFC" w14:textId="5621E554" w:rsidR="00D96A4D" w:rsidRDefault="008A5B1C" w:rsidP="001A6624">
      <w:pPr>
        <w:pStyle w:val="Level2"/>
        <w:keepNext/>
        <w:numPr>
          <w:ilvl w:val="0"/>
          <w:numId w:val="0"/>
        </w:numPr>
        <w:ind w:left="680"/>
      </w:pPr>
      <w:r>
        <w:t>“</w:t>
      </w:r>
      <w:r w:rsidR="00D96A4D" w:rsidRPr="00D96A4D">
        <w:rPr>
          <w:b/>
          <w:bCs/>
        </w:rPr>
        <w:t>Applicable Regulati</w:t>
      </w:r>
      <w:r w:rsidR="00F65C1A">
        <w:rPr>
          <w:b/>
          <w:bCs/>
        </w:rPr>
        <w:t>o</w:t>
      </w:r>
      <w:r w:rsidR="00D96A4D" w:rsidRPr="00D96A4D">
        <w:rPr>
          <w:b/>
          <w:bCs/>
        </w:rPr>
        <w:t>ns</w:t>
      </w:r>
      <w:r>
        <w:t>”</w:t>
      </w:r>
      <w:r w:rsidR="00D96A4D">
        <w:t xml:space="preserve"> means:</w:t>
      </w:r>
    </w:p>
    <w:p w14:paraId="74FA94D1" w14:textId="52B822B2" w:rsidR="00D96A4D" w:rsidRDefault="00D96A4D" w:rsidP="009646BC">
      <w:pPr>
        <w:pStyle w:val="alpha2"/>
        <w:numPr>
          <w:ilvl w:val="1"/>
          <w:numId w:val="202"/>
        </w:numPr>
      </w:pPr>
      <w:r>
        <w:t xml:space="preserve">the FCA Rules or any other rules of a relevant regulatory authority [(including the Prudential Regulation Authority)] or a relevant self-regulatory organisation; </w:t>
      </w:r>
    </w:p>
    <w:p w14:paraId="4C2BFF93" w14:textId="1ADFB175" w:rsidR="00D96A4D" w:rsidRDefault="00D96A4D" w:rsidP="001A6624">
      <w:pPr>
        <w:pStyle w:val="alpha2"/>
      </w:pPr>
      <w:r>
        <w:t xml:space="preserve">the Rules of any relevant Infrastructure; </w:t>
      </w:r>
    </w:p>
    <w:p w14:paraId="4EF888BD" w14:textId="12A798CB" w:rsidR="00D96A4D" w:rsidRDefault="00D96A4D" w:rsidP="001A6624">
      <w:pPr>
        <w:pStyle w:val="alpha2"/>
      </w:pPr>
      <w:r>
        <w:t>all other applicable laws, rules, procedures, guidance, codes, standards and regulations (including accounting rules and anti-money laundering/sanctions legislation); and</w:t>
      </w:r>
    </w:p>
    <w:p w14:paraId="1F0870AB" w14:textId="7A3DF5FC" w:rsidR="00D96A4D" w:rsidRDefault="00D96A4D" w:rsidP="001A6624">
      <w:pPr>
        <w:pStyle w:val="alpha2"/>
      </w:pPr>
      <w:r>
        <w:t>any directions given by a governmental body, regulator or self-regulatory organisatio</w:t>
      </w:r>
      <w:r w:rsidR="0076033E">
        <w:t>n</w:t>
      </w:r>
      <w:r>
        <w:t>;</w:t>
      </w:r>
    </w:p>
    <w:p w14:paraId="5DA80DE6" w14:textId="1803E3C3" w:rsidR="00D96A4D" w:rsidRDefault="008A5B1C" w:rsidP="00D96A4D">
      <w:pPr>
        <w:pStyle w:val="roman2"/>
        <w:numPr>
          <w:ilvl w:val="0"/>
          <w:numId w:val="0"/>
        </w:numPr>
        <w:ind w:left="680"/>
      </w:pPr>
      <w:r>
        <w:lastRenderedPageBreak/>
        <w:t>“</w:t>
      </w:r>
      <w:r w:rsidR="00D96A4D" w:rsidRPr="00D96A4D">
        <w:rPr>
          <w:b/>
          <w:bCs/>
        </w:rPr>
        <w:t>Associ</w:t>
      </w:r>
      <w:r w:rsidR="00F65C1A">
        <w:rPr>
          <w:b/>
          <w:bCs/>
        </w:rPr>
        <w:t>a</w:t>
      </w:r>
      <w:r w:rsidR="00D96A4D" w:rsidRPr="00D96A4D">
        <w:rPr>
          <w:b/>
          <w:bCs/>
        </w:rPr>
        <w:t>te</w:t>
      </w:r>
      <w:r>
        <w:t>”</w:t>
      </w:r>
      <w:r w:rsidR="00D96A4D">
        <w:t xml:space="preserve"> means: </w:t>
      </w:r>
    </w:p>
    <w:p w14:paraId="132A1E2E" w14:textId="554FB2FC" w:rsidR="00D96A4D" w:rsidRDefault="00D96A4D" w:rsidP="001A6624">
      <w:pPr>
        <w:pStyle w:val="alpha2"/>
        <w:numPr>
          <w:ilvl w:val="1"/>
          <w:numId w:val="96"/>
        </w:numPr>
      </w:pPr>
      <w:r>
        <w:t>an Affiliate of the Firm;</w:t>
      </w:r>
    </w:p>
    <w:p w14:paraId="51D47438" w14:textId="21671EE0" w:rsidR="00D96A4D" w:rsidRDefault="00D96A4D" w:rsidP="001A6624">
      <w:pPr>
        <w:pStyle w:val="alpha2"/>
      </w:pPr>
      <w:r>
        <w:t>a representative or delegate whom the Firm, or an Affiliate of the Firm, appoints;</w:t>
      </w:r>
    </w:p>
    <w:p w14:paraId="5E7B7A4F" w14:textId="07FD190D" w:rsidR="00D96A4D" w:rsidRDefault="00D96A4D" w:rsidP="001A6624">
      <w:pPr>
        <w:pStyle w:val="alpha2"/>
      </w:pPr>
      <w:r>
        <w:t>any sub-contractor or other service provider engaged in connection with the Services; and/or</w:t>
      </w:r>
    </w:p>
    <w:p w14:paraId="153D1D5A" w14:textId="7EE4CEB7" w:rsidR="00D96A4D" w:rsidRDefault="00D96A4D" w:rsidP="001A6624">
      <w:pPr>
        <w:pStyle w:val="alpha2"/>
      </w:pPr>
      <w:r>
        <w:t>any other person with whom the Firm has a relationship that might reasonably be expected to give rise to a community of interest between the Firm and such perso</w:t>
      </w:r>
      <w:r w:rsidR="0076033E">
        <w:t>n</w:t>
      </w:r>
      <w:r>
        <w:t>;</w:t>
      </w:r>
    </w:p>
    <w:p w14:paraId="10E72CD2" w14:textId="590E63CE" w:rsidR="00D96A4D" w:rsidRDefault="008A5B1C" w:rsidP="00D96A4D">
      <w:pPr>
        <w:pStyle w:val="roman2"/>
        <w:numPr>
          <w:ilvl w:val="0"/>
          <w:numId w:val="0"/>
        </w:numPr>
        <w:ind w:left="680"/>
      </w:pPr>
      <w:r>
        <w:t>“</w:t>
      </w:r>
      <w:r w:rsidR="00D96A4D" w:rsidRPr="00D96A4D">
        <w:rPr>
          <w:b/>
          <w:bCs/>
        </w:rPr>
        <w:t>Base Curre</w:t>
      </w:r>
      <w:r w:rsidR="00F65C1A">
        <w:rPr>
          <w:b/>
          <w:bCs/>
        </w:rPr>
        <w:t>n</w:t>
      </w:r>
      <w:r w:rsidR="00D96A4D" w:rsidRPr="00D96A4D">
        <w:rPr>
          <w:b/>
          <w:bCs/>
        </w:rPr>
        <w:t>cy</w:t>
      </w:r>
      <w:r>
        <w:t>”</w:t>
      </w:r>
      <w:r w:rsidR="00D96A4D">
        <w:t xml:space="preserve"> means the currency specified as such in the Annex (or, if no such currency is specified, GBP</w:t>
      </w:r>
      <w:r w:rsidR="0076033E">
        <w:t>)</w:t>
      </w:r>
      <w:r w:rsidR="00D96A4D">
        <w:t>;</w:t>
      </w:r>
    </w:p>
    <w:p w14:paraId="0FAF31CF" w14:textId="5323A4FA" w:rsidR="00D96A4D" w:rsidRDefault="008A5B1C" w:rsidP="00D96A4D">
      <w:pPr>
        <w:pStyle w:val="roman2"/>
        <w:numPr>
          <w:ilvl w:val="0"/>
          <w:numId w:val="0"/>
        </w:numPr>
        <w:ind w:left="680"/>
      </w:pPr>
      <w:r>
        <w:t>“</w:t>
      </w:r>
      <w:r w:rsidR="00D96A4D" w:rsidRPr="00D96A4D">
        <w:rPr>
          <w:b/>
          <w:bCs/>
        </w:rPr>
        <w:t xml:space="preserve">Business </w:t>
      </w:r>
      <w:r w:rsidR="0076033E">
        <w:rPr>
          <w:b/>
          <w:bCs/>
        </w:rPr>
        <w:t>D</w:t>
      </w:r>
      <w:r w:rsidR="00D96A4D" w:rsidRPr="00D96A4D">
        <w:rPr>
          <w:b/>
          <w:bCs/>
        </w:rPr>
        <w:t>ay</w:t>
      </w:r>
      <w:r>
        <w:t>”</w:t>
      </w:r>
      <w:r w:rsidR="00D96A4D">
        <w:t xml:space="preserve"> means a day which is not a Saturday or a Sunday and upon which banks are open for business in Londo</w:t>
      </w:r>
      <w:r w:rsidR="0076033E">
        <w:t>n</w:t>
      </w:r>
      <w:r w:rsidR="00D96A4D">
        <w:t>;</w:t>
      </w:r>
    </w:p>
    <w:p w14:paraId="4F168A8B" w14:textId="1BE0FF0A" w:rsidR="00D96A4D" w:rsidRDefault="008A5B1C" w:rsidP="00D96A4D">
      <w:pPr>
        <w:pStyle w:val="roman2"/>
        <w:numPr>
          <w:ilvl w:val="0"/>
          <w:numId w:val="0"/>
        </w:numPr>
        <w:ind w:left="680"/>
      </w:pPr>
      <w:r>
        <w:t>“</w:t>
      </w:r>
      <w:r w:rsidR="0076033E">
        <w:rPr>
          <w:b/>
          <w:bCs/>
        </w:rPr>
        <w:t>C</w:t>
      </w:r>
      <w:r w:rsidR="00D96A4D" w:rsidRPr="00D96A4D">
        <w:rPr>
          <w:b/>
          <w:bCs/>
        </w:rPr>
        <w:t>CP</w:t>
      </w:r>
      <w:r>
        <w:t>”</w:t>
      </w:r>
      <w:r w:rsidR="00D96A4D">
        <w:t xml:space="preserve"> </w:t>
      </w:r>
      <w:r w:rsidR="00F91028" w:rsidRPr="000F1B89">
        <w:t>has the meaning given to that term in paragraph</w:t>
      </w:r>
      <w:r w:rsidR="000C239C">
        <w:t xml:space="preserve"> </w:t>
      </w:r>
      <w:r w:rsidR="000C239C">
        <w:fldChar w:fldCharType="begin" w:fldLock="1"/>
      </w:r>
      <w:r w:rsidR="000C239C">
        <w:instrText xml:space="preserve"> REF _Ref161349917 \r \h </w:instrText>
      </w:r>
      <w:r w:rsidR="000C239C">
        <w:fldChar w:fldCharType="separate"/>
      </w:r>
      <w:r w:rsidR="009646BC">
        <w:t>9.1</w:t>
      </w:r>
      <w:r w:rsidR="000C239C">
        <w:fldChar w:fldCharType="end"/>
      </w:r>
      <w:r w:rsidR="000C239C">
        <w:t xml:space="preserve"> </w:t>
      </w:r>
      <w:r w:rsidR="00D83434">
        <w:t>(</w:t>
      </w:r>
      <w:r w:rsidR="00D83434" w:rsidRPr="00D83434">
        <w:rPr>
          <w:i/>
          <w:iCs/>
        </w:rPr>
        <w:t>Definitions</w:t>
      </w:r>
      <w:r w:rsidR="00D83434">
        <w:t xml:space="preserve">) </w:t>
      </w:r>
      <w:r w:rsidR="00F91028" w:rsidRPr="00D83434">
        <w:t>of</w:t>
      </w:r>
      <w:r w:rsidR="00F91028" w:rsidRPr="000F1B89">
        <w:t xml:space="preserve"> </w:t>
      </w:r>
      <w:r w:rsidR="00055C44">
        <w:t>the Segregated Asset Terms;</w:t>
      </w:r>
    </w:p>
    <w:p w14:paraId="2384CF5E" w14:textId="4CF013BF" w:rsidR="00D96A4D" w:rsidRDefault="008A5B1C" w:rsidP="00D96A4D">
      <w:pPr>
        <w:pStyle w:val="roman2"/>
        <w:numPr>
          <w:ilvl w:val="0"/>
          <w:numId w:val="0"/>
        </w:numPr>
        <w:ind w:left="680"/>
      </w:pPr>
      <w:r>
        <w:t>“</w:t>
      </w:r>
      <w:r w:rsidR="00D96A4D" w:rsidRPr="00D96A4D">
        <w:rPr>
          <w:b/>
          <w:bCs/>
        </w:rPr>
        <w:t>CCP Defa</w:t>
      </w:r>
      <w:r w:rsidR="0076033E">
        <w:rPr>
          <w:b/>
          <w:bCs/>
        </w:rPr>
        <w:t>u</w:t>
      </w:r>
      <w:r w:rsidR="00D96A4D" w:rsidRPr="00D96A4D">
        <w:rPr>
          <w:b/>
          <w:bCs/>
        </w:rPr>
        <w:t>lt</w:t>
      </w:r>
      <w:r>
        <w:t>”</w:t>
      </w:r>
      <w:r w:rsidR="00D96A4D">
        <w:t xml:space="preserve"> has the meaning given to </w:t>
      </w:r>
      <w:r w:rsidR="00794FD5">
        <w:t>that term</w:t>
      </w:r>
      <w:r w:rsidR="00D96A4D">
        <w:t xml:space="preserve"> in clause </w:t>
      </w:r>
      <w:r w:rsidR="003771B1">
        <w:fldChar w:fldCharType="begin" w:fldLock="1"/>
      </w:r>
      <w:r w:rsidR="003771B1">
        <w:instrText xml:space="preserve"> REF _Ref161351284 \r \h </w:instrText>
      </w:r>
      <w:r w:rsidR="003771B1">
        <w:fldChar w:fldCharType="separate"/>
      </w:r>
      <w:r w:rsidR="009646BC">
        <w:t>13.1</w:t>
      </w:r>
      <w:r w:rsidR="003771B1">
        <w:fldChar w:fldCharType="end"/>
      </w:r>
      <w:r w:rsidR="00D96A4D">
        <w:t xml:space="preserve"> (</w:t>
      </w:r>
      <w:r w:rsidR="00D96A4D" w:rsidRPr="00D96A4D">
        <w:rPr>
          <w:i/>
          <w:iCs/>
        </w:rPr>
        <w:t>CCP Default</w:t>
      </w:r>
      <w:r w:rsidR="00D96A4D">
        <w:t>);</w:t>
      </w:r>
    </w:p>
    <w:p w14:paraId="023AF8E7" w14:textId="13A31EF9" w:rsidR="0001764A" w:rsidRDefault="008A5B1C" w:rsidP="00A92A12">
      <w:pPr>
        <w:pStyle w:val="Level2"/>
        <w:numPr>
          <w:ilvl w:val="0"/>
          <w:numId w:val="0"/>
        </w:numPr>
        <w:ind w:left="680"/>
      </w:pPr>
      <w:r>
        <w:t>“</w:t>
      </w:r>
      <w:r w:rsidR="0001764A">
        <w:rPr>
          <w:b/>
          <w:bCs/>
        </w:rPr>
        <w:t>Cleared Transaction Set</w:t>
      </w:r>
      <w:r w:rsidR="0001764A">
        <w:t>” means all Transactions which are cleared through the same Agreed CCP and which are recorded to the same account at the Agreed CCP or, where there are sub-accounts at the Agreed CCP, the same sub-account</w:t>
      </w:r>
      <w:r w:rsidR="00D96A4D">
        <w:t>;</w:t>
      </w:r>
      <w:r w:rsidR="0001764A">
        <w:t xml:space="preserve"> </w:t>
      </w:r>
    </w:p>
    <w:p w14:paraId="7FB46D0B" w14:textId="6B5AB204" w:rsidR="000B2E29" w:rsidRPr="000B2E29" w:rsidRDefault="000B2E29" w:rsidP="00A92A12">
      <w:pPr>
        <w:pStyle w:val="Level2"/>
        <w:numPr>
          <w:ilvl w:val="0"/>
          <w:numId w:val="0"/>
        </w:numPr>
        <w:ind w:left="680"/>
      </w:pPr>
      <w:r>
        <w:t>“</w:t>
      </w:r>
      <w:r>
        <w:rPr>
          <w:b/>
          <w:bCs/>
        </w:rPr>
        <w:t>Clearing Eligible Trade</w:t>
      </w:r>
      <w:r>
        <w:t xml:space="preserve">” means, with respect to an Agreed CCP and an Agreed CCP Service, any over-the-counter swap, forward, option or similar transaction capable of being cleared by the Firm </w:t>
      </w:r>
      <w:r w:rsidR="00B7141C">
        <w:t xml:space="preserve">as general clearing member of an Agreed CCP </w:t>
      </w:r>
      <w:r>
        <w:t>on behalf of the Client using such Agreed CCP Service</w:t>
      </w:r>
      <w:r w:rsidR="00B7141C">
        <w:t xml:space="preserve"> and in accordance with the terms of this </w:t>
      </w:r>
      <w:r w:rsidR="00A003F1">
        <w:t xml:space="preserve">Client Clearing </w:t>
      </w:r>
      <w:r w:rsidR="00B7141C">
        <w:t>Agreement</w:t>
      </w:r>
      <w:r>
        <w:t xml:space="preserve"> and which is of a type specified in respect of such Agreed CCP Service in Table A</w:t>
      </w:r>
      <w:r w:rsidR="0076033E">
        <w:t>;</w:t>
      </w:r>
      <w:r>
        <w:t xml:space="preserve"> </w:t>
      </w:r>
    </w:p>
    <w:p w14:paraId="524E5E97" w14:textId="00D7BA5A" w:rsidR="00D96A4D" w:rsidRPr="0001764A" w:rsidRDefault="008A5B1C" w:rsidP="00A92A12">
      <w:pPr>
        <w:pStyle w:val="Level2"/>
        <w:numPr>
          <w:ilvl w:val="0"/>
          <w:numId w:val="0"/>
        </w:numPr>
        <w:ind w:left="680"/>
      </w:pPr>
      <w:r>
        <w:t>“</w:t>
      </w:r>
      <w:r w:rsidR="00D96A4D" w:rsidRPr="00D96A4D">
        <w:rPr>
          <w:b/>
          <w:bCs/>
        </w:rPr>
        <w:t>Clearing Serv</w:t>
      </w:r>
      <w:r w:rsidR="0076033E">
        <w:rPr>
          <w:b/>
          <w:bCs/>
        </w:rPr>
        <w:t>i</w:t>
      </w:r>
      <w:r w:rsidR="00D96A4D" w:rsidRPr="00D96A4D">
        <w:rPr>
          <w:b/>
          <w:bCs/>
        </w:rPr>
        <w:t>ce</w:t>
      </w:r>
      <w:r>
        <w:t>”</w:t>
      </w:r>
      <w:r w:rsidR="00D96A4D" w:rsidRPr="00D96A4D">
        <w:t xml:space="preserve"> means any clearing service, including an Agreed CCP Service</w:t>
      </w:r>
      <w:r w:rsidR="00D96A4D">
        <w:t>;</w:t>
      </w:r>
    </w:p>
    <w:p w14:paraId="113741EB" w14:textId="6A86BF0D" w:rsidR="001E56E0" w:rsidRDefault="001E56E0" w:rsidP="001E56E0">
      <w:pPr>
        <w:pStyle w:val="roman2"/>
        <w:numPr>
          <w:ilvl w:val="0"/>
          <w:numId w:val="0"/>
        </w:numPr>
        <w:ind w:left="680"/>
      </w:pPr>
      <w:r>
        <w:t>“</w:t>
      </w:r>
      <w:r>
        <w:rPr>
          <w:b/>
          <w:bCs/>
        </w:rPr>
        <w:t>Client Clearing Agreement</w:t>
      </w:r>
      <w:r>
        <w:t>” means th</w:t>
      </w:r>
      <w:r w:rsidR="005541CC">
        <w:t>e</w:t>
      </w:r>
      <w:r>
        <w:t xml:space="preserve"> Agreement </w:t>
      </w:r>
      <w:r w:rsidR="007F3307">
        <w:t>other than</w:t>
      </w:r>
      <w:r>
        <w:t xml:space="preserve"> the Segregated Asset Terms;</w:t>
      </w:r>
    </w:p>
    <w:p w14:paraId="24842059" w14:textId="41CD67B0" w:rsidR="00D96A4D" w:rsidRDefault="008A5B1C" w:rsidP="00D96A4D">
      <w:pPr>
        <w:pStyle w:val="Level2"/>
        <w:numPr>
          <w:ilvl w:val="0"/>
          <w:numId w:val="0"/>
        </w:numPr>
        <w:ind w:left="680"/>
      </w:pPr>
      <w:r>
        <w:t>“</w:t>
      </w:r>
      <w:r w:rsidR="00D96A4D" w:rsidRPr="00D96A4D">
        <w:rPr>
          <w:b/>
          <w:bCs/>
        </w:rPr>
        <w:t>Client Money Ru</w:t>
      </w:r>
      <w:r w:rsidR="0076033E">
        <w:rPr>
          <w:b/>
          <w:bCs/>
        </w:rPr>
        <w:t>le</w:t>
      </w:r>
      <w:r w:rsidR="00D96A4D" w:rsidRPr="00D96A4D">
        <w:rPr>
          <w:b/>
          <w:bCs/>
        </w:rPr>
        <w:t>s</w:t>
      </w:r>
      <w:r>
        <w:t>”</w:t>
      </w:r>
      <w:r w:rsidR="00D96A4D" w:rsidRPr="00D96A4D">
        <w:t xml:space="preserve"> means CASS 7 of the </w:t>
      </w:r>
      <w:r w:rsidR="0076033E">
        <w:t>F</w:t>
      </w:r>
      <w:r w:rsidR="00D96A4D" w:rsidRPr="00D96A4D">
        <w:t>CA</w:t>
      </w:r>
      <w:r w:rsidR="005541CC">
        <w:t>’</w:t>
      </w:r>
      <w:r w:rsidR="00D96A4D" w:rsidRPr="00D96A4D">
        <w:t>s Client Assets Sourcebook setting out the client money rule</w:t>
      </w:r>
      <w:r w:rsidR="0076033E">
        <w:t>s;</w:t>
      </w:r>
    </w:p>
    <w:p w14:paraId="3B11F3D0" w14:textId="6AE69C3C" w:rsidR="00395C58" w:rsidRDefault="008A5B1C" w:rsidP="00395C58">
      <w:pPr>
        <w:pStyle w:val="Level2"/>
        <w:numPr>
          <w:ilvl w:val="0"/>
          <w:numId w:val="0"/>
        </w:numPr>
        <w:ind w:left="680"/>
      </w:pPr>
      <w:r>
        <w:t>“</w:t>
      </w:r>
      <w:r w:rsidR="00395C58" w:rsidRPr="00395C58">
        <w:rPr>
          <w:b/>
          <w:bCs/>
        </w:rPr>
        <w:t>Close-out Transact</w:t>
      </w:r>
      <w:r w:rsidR="0076033E">
        <w:rPr>
          <w:b/>
          <w:bCs/>
        </w:rPr>
        <w:t>i</w:t>
      </w:r>
      <w:r w:rsidR="00395C58" w:rsidRPr="00395C58">
        <w:rPr>
          <w:b/>
          <w:bCs/>
        </w:rPr>
        <w:t>on</w:t>
      </w:r>
      <w:r>
        <w:t>”</w:t>
      </w:r>
      <w:r w:rsidR="00395C58">
        <w:t xml:space="preserve"> means, with respect to a Transaction:</w:t>
      </w:r>
    </w:p>
    <w:p w14:paraId="3AC342BD" w14:textId="4AF5DCBF" w:rsidR="00395C58" w:rsidRDefault="00395C58" w:rsidP="001A6624">
      <w:pPr>
        <w:pStyle w:val="alpha2"/>
        <w:numPr>
          <w:ilvl w:val="1"/>
          <w:numId w:val="97"/>
        </w:numPr>
      </w:pPr>
      <w:r>
        <w:t>one or more cleared derivatives transactions (which transactions may be executed with an Affiliate of the Firm or an unaffiliated third party) that (1) are cleared through the same Agreed CCP Service as such Transaction and (2) in accordance with the applicable Rule Set, result in a proportional offset and close-out of such Transaction at the relevant Agreed CCP Service; or</w:t>
      </w:r>
    </w:p>
    <w:p w14:paraId="2FB40654" w14:textId="75A7F1F2" w:rsidR="00395C58" w:rsidRDefault="00395C58" w:rsidP="00395C58">
      <w:pPr>
        <w:pStyle w:val="alpha2"/>
      </w:pPr>
      <w:r>
        <w:t xml:space="preserve">a </w:t>
      </w:r>
      <w:r w:rsidR="00FE0724">
        <w:t>t</w:t>
      </w:r>
      <w:r>
        <w:t>ransfer</w:t>
      </w:r>
      <w:r w:rsidR="00FE0724">
        <w:t xml:space="preserve">, </w:t>
      </w:r>
      <w:r w:rsidR="00FE0724" w:rsidRPr="00FE0724">
        <w:t>including by way of assignment, novation or termination and replacement</w:t>
      </w:r>
      <w:r w:rsidR="00FE0724">
        <w:t>,</w:t>
      </w:r>
      <w:r>
        <w:t xml:space="preserve"> of the </w:t>
      </w:r>
      <w:r w:rsidR="00126A15">
        <w:t xml:space="preserve">Firm’s rights, obligations and interest in or under such </w:t>
      </w:r>
      <w:r>
        <w:t xml:space="preserve">Transaction as a result of which the obligations of the Firm in respect of the Transaction are substituted or replaced, in whole or in part, with the obligations of an assignee or transferee (and </w:t>
      </w:r>
      <w:r w:rsidR="0022468E">
        <w:t>the Firm’s</w:t>
      </w:r>
      <w:r>
        <w:t xml:space="preserve"> corresponding obligations are extinguished)</w:t>
      </w:r>
      <w:r w:rsidR="0076033E">
        <w:t>;</w:t>
      </w:r>
    </w:p>
    <w:p w14:paraId="0361E474" w14:textId="000FB291" w:rsidR="002847D9" w:rsidRDefault="008A5B1C" w:rsidP="004C0F61">
      <w:pPr>
        <w:pStyle w:val="Level2"/>
        <w:numPr>
          <w:ilvl w:val="0"/>
          <w:numId w:val="0"/>
        </w:numPr>
        <w:ind w:left="680"/>
      </w:pPr>
      <w:r>
        <w:lastRenderedPageBreak/>
        <w:t>“</w:t>
      </w:r>
      <w:r w:rsidR="002847D9" w:rsidRPr="00E05F9F">
        <w:rPr>
          <w:b/>
          <w:bCs/>
        </w:rPr>
        <w:t>Compress</w:t>
      </w:r>
      <w:r w:rsidR="00570F51">
        <w:rPr>
          <w:b/>
          <w:bCs/>
        </w:rPr>
        <w:t>ed</w:t>
      </w:r>
      <w:r>
        <w:t>”</w:t>
      </w:r>
      <w:r w:rsidR="002847D9" w:rsidRPr="00E05F9F">
        <w:t xml:space="preserve"> means, in respect of two or more Transactions, having the same or offsetting terms (other than notional amounts) (the </w:t>
      </w:r>
      <w:r>
        <w:t>“</w:t>
      </w:r>
      <w:r w:rsidR="002847D9" w:rsidRPr="00E05F9F">
        <w:rPr>
          <w:b/>
          <w:bCs/>
        </w:rPr>
        <w:t>Existing Transactions</w:t>
      </w:r>
      <w:r>
        <w:t>”</w:t>
      </w:r>
      <w:r w:rsidR="002847D9" w:rsidRPr="00E05F9F">
        <w:t xml:space="preserve">), the termination of such Existing Transactions and, where they do not give rise to an exact offset, replacement with a single Transaction, which represents the net economic position of the Existing Transactions, or any contractual netting, trade compression or other similar process, howsoever described, that has an equivalent effect; </w:t>
      </w:r>
    </w:p>
    <w:p w14:paraId="0BA4992E" w14:textId="763D703F" w:rsidR="002E340A" w:rsidRPr="00E05F9F" w:rsidRDefault="002E340A" w:rsidP="002E340A">
      <w:pPr>
        <w:pStyle w:val="Level2"/>
        <w:numPr>
          <w:ilvl w:val="0"/>
          <w:numId w:val="0"/>
        </w:numPr>
        <w:ind w:left="680"/>
      </w:pPr>
      <w:r>
        <w:t>“</w:t>
      </w:r>
      <w:r>
        <w:rPr>
          <w:b/>
          <w:bCs/>
        </w:rPr>
        <w:t>Conditions to Clearing</w:t>
      </w:r>
      <w:r>
        <w:t xml:space="preserve">” has the meaning given to that term in clause </w:t>
      </w:r>
      <w:r>
        <w:fldChar w:fldCharType="begin" w:fldLock="1"/>
      </w:r>
      <w:r>
        <w:instrText xml:space="preserve"> REF _Ref138849118 \r \h </w:instrText>
      </w:r>
      <w:r>
        <w:fldChar w:fldCharType="separate"/>
      </w:r>
      <w:r w:rsidR="009646BC">
        <w:t>3.4</w:t>
      </w:r>
      <w:r>
        <w:fldChar w:fldCharType="end"/>
      </w:r>
      <w:r>
        <w:t xml:space="preserve"> (</w:t>
      </w:r>
      <w:r>
        <w:rPr>
          <w:i/>
          <w:iCs/>
        </w:rPr>
        <w:t>Conditions for accepting Clearing Eligible Trades for clearing</w:t>
      </w:r>
      <w:r>
        <w:t xml:space="preserve">); </w:t>
      </w:r>
    </w:p>
    <w:p w14:paraId="167ABB15" w14:textId="06C539BB" w:rsidR="00D96A4D" w:rsidRDefault="008A5B1C" w:rsidP="00D96A4D">
      <w:pPr>
        <w:pStyle w:val="Level2"/>
        <w:numPr>
          <w:ilvl w:val="0"/>
          <w:numId w:val="0"/>
        </w:numPr>
        <w:ind w:left="680"/>
      </w:pPr>
      <w:r>
        <w:t>[“</w:t>
      </w:r>
      <w:r w:rsidR="00D96A4D" w:rsidRPr="00D96A4D">
        <w:rPr>
          <w:b/>
          <w:bCs/>
        </w:rPr>
        <w:t>Credit Support Docum</w:t>
      </w:r>
      <w:r w:rsidR="0076033E">
        <w:rPr>
          <w:b/>
          <w:bCs/>
        </w:rPr>
        <w:t>e</w:t>
      </w:r>
      <w:r w:rsidR="00D96A4D" w:rsidRPr="00D96A4D">
        <w:rPr>
          <w:b/>
          <w:bCs/>
        </w:rPr>
        <w:t>nt</w:t>
      </w:r>
      <w:r>
        <w:t>”</w:t>
      </w:r>
      <w:r w:rsidR="00D96A4D">
        <w:t xml:space="preserve"> has the meaning given to that term in clause </w:t>
      </w:r>
      <w:r w:rsidR="00D96A4D">
        <w:fldChar w:fldCharType="begin" w:fldLock="1"/>
      </w:r>
      <w:r w:rsidR="00D96A4D">
        <w:instrText xml:space="preserve"> REF _Ref133413383 \w \h </w:instrText>
      </w:r>
      <w:r w:rsidR="00D96A4D">
        <w:fldChar w:fldCharType="separate"/>
      </w:r>
      <w:r w:rsidR="009646BC">
        <w:t>10.1.3</w:t>
      </w:r>
      <w:r w:rsidR="00D96A4D">
        <w:fldChar w:fldCharType="end"/>
      </w:r>
      <w:r w:rsidR="00D96A4D">
        <w:t>;</w:t>
      </w:r>
      <w:r w:rsidR="0076033E">
        <w:t>]</w:t>
      </w:r>
    </w:p>
    <w:p w14:paraId="6D9BA74F" w14:textId="55F12E04" w:rsidR="00663F2F" w:rsidRDefault="008A5B1C" w:rsidP="00D96A4D">
      <w:pPr>
        <w:pStyle w:val="Level2"/>
        <w:numPr>
          <w:ilvl w:val="0"/>
          <w:numId w:val="0"/>
        </w:numPr>
        <w:ind w:left="680"/>
      </w:pPr>
      <w:r>
        <w:t>[“</w:t>
      </w:r>
      <w:r w:rsidR="00D96A4D" w:rsidRPr="00D96A4D">
        <w:rPr>
          <w:b/>
          <w:bCs/>
        </w:rPr>
        <w:t>Credit Support Provi</w:t>
      </w:r>
      <w:r w:rsidR="0076033E">
        <w:rPr>
          <w:b/>
          <w:bCs/>
        </w:rPr>
        <w:t>d</w:t>
      </w:r>
      <w:r w:rsidR="00D96A4D" w:rsidRPr="00D96A4D">
        <w:rPr>
          <w:b/>
          <w:bCs/>
        </w:rPr>
        <w:t>er</w:t>
      </w:r>
      <w:r>
        <w:t>”</w:t>
      </w:r>
      <w:r w:rsidR="00D96A4D">
        <w:t xml:space="preserve"> means any person who has entered into any guarantee, hypothecation, agreement, margin or security agreement in favour of the Firm in respect of the Cli</w:t>
      </w:r>
      <w:r w:rsidR="0076033E">
        <w:t>e</w:t>
      </w:r>
      <w:r w:rsidR="00D96A4D">
        <w:t>nt</w:t>
      </w:r>
      <w:r w:rsidR="005541CC">
        <w:t>’</w:t>
      </w:r>
      <w:r w:rsidR="00D96A4D">
        <w:t xml:space="preserve">s obligations under this </w:t>
      </w:r>
      <w:r w:rsidR="005541CC">
        <w:t xml:space="preserve">Client Clearing </w:t>
      </w:r>
      <w:r w:rsidR="00D96A4D">
        <w:t>Agreement;]</w:t>
      </w:r>
    </w:p>
    <w:p w14:paraId="0C3A35FA" w14:textId="7A350251" w:rsidR="00E70C4B" w:rsidRPr="00E70C4B" w:rsidRDefault="00E70C4B" w:rsidP="00D96A4D">
      <w:pPr>
        <w:pStyle w:val="Level2"/>
        <w:numPr>
          <w:ilvl w:val="0"/>
          <w:numId w:val="0"/>
        </w:numPr>
        <w:ind w:left="680"/>
      </w:pPr>
      <w:r>
        <w:t>“</w:t>
      </w:r>
      <w:r>
        <w:rPr>
          <w:b/>
          <w:bCs/>
        </w:rPr>
        <w:t>Deemed Settled Assets</w:t>
      </w:r>
      <w:r>
        <w:t xml:space="preserve">” has the meaning given to that term in paragraph </w:t>
      </w:r>
      <w:r>
        <w:fldChar w:fldCharType="begin" w:fldLock="1"/>
      </w:r>
      <w:r>
        <w:instrText xml:space="preserve"> REF _Ref192803839 \r \h </w:instrText>
      </w:r>
      <w:r>
        <w:fldChar w:fldCharType="separate"/>
      </w:r>
      <w:r w:rsidR="009646BC">
        <w:t>9.1</w:t>
      </w:r>
      <w:r>
        <w:fldChar w:fldCharType="end"/>
      </w:r>
      <w:r>
        <w:t xml:space="preserve"> (</w:t>
      </w:r>
      <w:r>
        <w:rPr>
          <w:i/>
          <w:iCs/>
        </w:rPr>
        <w:t>Definitions</w:t>
      </w:r>
      <w:r>
        <w:t xml:space="preserve">) of the Segregated Asset Terms; </w:t>
      </w:r>
    </w:p>
    <w:p w14:paraId="30A9407F" w14:textId="4385902B" w:rsidR="00FC3C4B" w:rsidRPr="00FC3C4B" w:rsidRDefault="00094771" w:rsidP="009D3F7D">
      <w:pPr>
        <w:pStyle w:val="Level2"/>
        <w:numPr>
          <w:ilvl w:val="0"/>
          <w:numId w:val="0"/>
        </w:numPr>
        <w:ind w:left="680"/>
      </w:pPr>
      <w:r w:rsidRPr="00E05F9F">
        <w:t>“</w:t>
      </w:r>
      <w:r w:rsidRPr="00E05F9F">
        <w:rPr>
          <w:b/>
          <w:bCs/>
        </w:rPr>
        <w:t>Default</w:t>
      </w:r>
      <w:r w:rsidRPr="00E05F9F">
        <w:t xml:space="preserve">” has the meaning given to that term in clause </w:t>
      </w:r>
      <w:r w:rsidRPr="00E05F9F">
        <w:fldChar w:fldCharType="begin" w:fldLock="1"/>
      </w:r>
      <w:r w:rsidRPr="00E05F9F">
        <w:instrText xml:space="preserve"> REF _Ref139915816 \w \h </w:instrText>
      </w:r>
      <w:r w:rsidR="00E05F9F">
        <w:instrText xml:space="preserve"> \* MERGEFORMAT </w:instrText>
      </w:r>
      <w:r w:rsidRPr="00E05F9F">
        <w:fldChar w:fldCharType="separate"/>
      </w:r>
      <w:r w:rsidR="009646BC">
        <w:t>14.1</w:t>
      </w:r>
      <w:r w:rsidRPr="00E05F9F">
        <w:fldChar w:fldCharType="end"/>
      </w:r>
      <w:r w:rsidRPr="00E05F9F">
        <w:t xml:space="preserve"> (</w:t>
      </w:r>
      <w:r w:rsidRPr="00E05F9F">
        <w:rPr>
          <w:i/>
          <w:iCs/>
        </w:rPr>
        <w:t xml:space="preserve">Hierarchy of </w:t>
      </w:r>
      <w:r w:rsidR="00567255" w:rsidRPr="00E05F9F">
        <w:rPr>
          <w:i/>
          <w:iCs/>
        </w:rPr>
        <w:t>ev</w:t>
      </w:r>
      <w:r w:rsidRPr="00E05F9F">
        <w:rPr>
          <w:i/>
          <w:iCs/>
        </w:rPr>
        <w:t>ents</w:t>
      </w:r>
      <w:r w:rsidRPr="00E05F9F">
        <w:t>);</w:t>
      </w:r>
      <w:r w:rsidR="00D17C2A" w:rsidRPr="00E05F9F">
        <w:t xml:space="preserve"> </w:t>
      </w:r>
    </w:p>
    <w:p w14:paraId="6BFF4717" w14:textId="5C9EF8FA" w:rsidR="00D96A4D" w:rsidRDefault="00D96A4D" w:rsidP="00A92A12">
      <w:pPr>
        <w:pStyle w:val="Level2"/>
        <w:numPr>
          <w:ilvl w:val="0"/>
          <w:numId w:val="0"/>
        </w:numPr>
        <w:ind w:left="680"/>
      </w:pPr>
      <w:r w:rsidRPr="00E05F9F">
        <w:t>“</w:t>
      </w:r>
      <w:r w:rsidRPr="00E05F9F">
        <w:rPr>
          <w:b/>
          <w:bCs/>
        </w:rPr>
        <w:t>Distribution</w:t>
      </w:r>
      <w:r w:rsidRPr="00E05F9F">
        <w:t xml:space="preserve">” has the meaning given to that term in clause </w:t>
      </w:r>
      <w:r w:rsidRPr="00E05F9F">
        <w:fldChar w:fldCharType="begin" w:fldLock="1"/>
      </w:r>
      <w:r w:rsidRPr="00E05F9F">
        <w:instrText xml:space="preserve"> REF _Ref133413532 \w \h </w:instrText>
      </w:r>
      <w:r w:rsidR="00E05F9F">
        <w:instrText xml:space="preserve"> \* MERGEFORMAT </w:instrText>
      </w:r>
      <w:r w:rsidRPr="00E05F9F">
        <w:fldChar w:fldCharType="separate"/>
      </w:r>
      <w:r w:rsidR="009646BC">
        <w:t>7.3.1</w:t>
      </w:r>
      <w:r w:rsidRPr="00E05F9F">
        <w:fldChar w:fldCharType="end"/>
      </w:r>
      <w:r w:rsidRPr="00E05F9F">
        <w:t xml:space="preserve"> (</w:t>
      </w:r>
      <w:r w:rsidRPr="00E05F9F">
        <w:rPr>
          <w:i/>
          <w:iCs/>
        </w:rPr>
        <w:t>Distributions</w:t>
      </w:r>
      <w:r w:rsidRPr="00E05F9F">
        <w:t xml:space="preserve">); </w:t>
      </w:r>
    </w:p>
    <w:p w14:paraId="081FD98A" w14:textId="16FE75FA" w:rsidR="001E7A8B" w:rsidRPr="00476A84" w:rsidRDefault="001E7A8B" w:rsidP="001E7A8B">
      <w:pPr>
        <w:pStyle w:val="Level2"/>
        <w:numPr>
          <w:ilvl w:val="0"/>
          <w:numId w:val="0"/>
        </w:numPr>
        <w:ind w:left="680"/>
      </w:pPr>
      <w:r>
        <w:t>“</w:t>
      </w:r>
      <w:r>
        <w:rPr>
          <w:b/>
          <w:bCs/>
        </w:rPr>
        <w:t>EATM Beneficiary</w:t>
      </w:r>
      <w:r>
        <w:t xml:space="preserve">” </w:t>
      </w:r>
      <w:r w:rsidRPr="000F1B89">
        <w:t xml:space="preserve">has the meaning given to that term in paragraph </w:t>
      </w:r>
      <w:r>
        <w:fldChar w:fldCharType="begin" w:fldLock="1"/>
      </w:r>
      <w:r>
        <w:instrText xml:space="preserve"> REF _Ref161349917 \r \h </w:instrText>
      </w:r>
      <w:r>
        <w:fldChar w:fldCharType="separate"/>
      </w:r>
      <w:r w:rsidR="009646BC">
        <w:t>9.1</w:t>
      </w:r>
      <w:r>
        <w:fldChar w:fldCharType="end"/>
      </w:r>
      <w:r w:rsidRPr="000F1B89">
        <w:t xml:space="preserve"> </w:t>
      </w:r>
      <w:r>
        <w:t>(</w:t>
      </w:r>
      <w:r w:rsidRPr="00D83434">
        <w:rPr>
          <w:i/>
          <w:iCs/>
        </w:rPr>
        <w:t>Definitions</w:t>
      </w:r>
      <w:r>
        <w:t xml:space="preserve">) </w:t>
      </w:r>
      <w:r w:rsidRPr="00D83434">
        <w:t>of</w:t>
      </w:r>
      <w:r w:rsidRPr="000F1B89">
        <w:t xml:space="preserve"> </w:t>
      </w:r>
      <w:r>
        <w:t>the Segregated Asset Terms</w:t>
      </w:r>
      <w:r w:rsidRPr="000F1B89">
        <w:t>;</w:t>
      </w:r>
    </w:p>
    <w:p w14:paraId="48E92D9E" w14:textId="2505C548" w:rsidR="001E7A8B" w:rsidRPr="00742772" w:rsidRDefault="001E7A8B" w:rsidP="001E7A8B">
      <w:pPr>
        <w:pStyle w:val="Level2"/>
        <w:numPr>
          <w:ilvl w:val="0"/>
          <w:numId w:val="0"/>
        </w:numPr>
        <w:ind w:left="680"/>
      </w:pPr>
      <w:r w:rsidRPr="000F1B89">
        <w:t>“</w:t>
      </w:r>
      <w:r>
        <w:rPr>
          <w:b/>
          <w:bCs/>
        </w:rPr>
        <w:t>EATM</w:t>
      </w:r>
      <w:r w:rsidRPr="00C17850">
        <w:rPr>
          <w:b/>
          <w:bCs/>
        </w:rPr>
        <w:t xml:space="preserve"> Client</w:t>
      </w:r>
      <w:r w:rsidRPr="000F1B89">
        <w:t xml:space="preserve">” has the meaning given to that term in paragraph </w:t>
      </w:r>
      <w:r>
        <w:fldChar w:fldCharType="begin" w:fldLock="1"/>
      </w:r>
      <w:r>
        <w:instrText xml:space="preserve"> REF _Ref161349917 \r \h </w:instrText>
      </w:r>
      <w:r>
        <w:fldChar w:fldCharType="separate"/>
      </w:r>
      <w:r w:rsidR="009646BC">
        <w:t>9.1</w:t>
      </w:r>
      <w:r>
        <w:fldChar w:fldCharType="end"/>
      </w:r>
      <w:r w:rsidRPr="000F1B89">
        <w:t xml:space="preserve"> </w:t>
      </w:r>
      <w:r>
        <w:t>(</w:t>
      </w:r>
      <w:r w:rsidRPr="00D83434">
        <w:rPr>
          <w:i/>
          <w:iCs/>
        </w:rPr>
        <w:t>Definitions</w:t>
      </w:r>
      <w:r>
        <w:t xml:space="preserve">) </w:t>
      </w:r>
      <w:r w:rsidRPr="00D83434">
        <w:t>of</w:t>
      </w:r>
      <w:r w:rsidRPr="000F1B89">
        <w:t xml:space="preserve"> </w:t>
      </w:r>
      <w:r>
        <w:t>the Segregated Asset Terms</w:t>
      </w:r>
      <w:r w:rsidRPr="000F1B89">
        <w:t>;</w:t>
      </w:r>
    </w:p>
    <w:p w14:paraId="3487DFDD" w14:textId="413C4B9B" w:rsidR="001E7A8B" w:rsidRDefault="001E7A8B" w:rsidP="001E7A8B">
      <w:pPr>
        <w:pStyle w:val="Level2"/>
        <w:numPr>
          <w:ilvl w:val="0"/>
          <w:numId w:val="0"/>
        </w:numPr>
        <w:ind w:left="680"/>
      </w:pPr>
      <w:r>
        <w:t>“</w:t>
      </w:r>
      <w:r>
        <w:rPr>
          <w:b/>
          <w:bCs/>
        </w:rPr>
        <w:t>EATM Conversion</w:t>
      </w:r>
      <w:r>
        <w:t xml:space="preserve">” has the meaning given to that term in clause </w:t>
      </w:r>
      <w:r>
        <w:fldChar w:fldCharType="begin" w:fldLock="1"/>
      </w:r>
      <w:r>
        <w:instrText xml:space="preserve"> REF _Ref133075544 \w \h </w:instrText>
      </w:r>
      <w:r>
        <w:fldChar w:fldCharType="separate"/>
      </w:r>
      <w:r w:rsidR="009646BC">
        <w:t>3.6.2(ii)</w:t>
      </w:r>
      <w:r>
        <w:fldChar w:fldCharType="end"/>
      </w:r>
      <w:r>
        <w:t xml:space="preserve"> (</w:t>
      </w:r>
      <w:r>
        <w:rPr>
          <w:i/>
          <w:iCs/>
        </w:rPr>
        <w:t>Conversion to Principal Model Agreement</w:t>
      </w:r>
      <w:r>
        <w:t>);</w:t>
      </w:r>
    </w:p>
    <w:p w14:paraId="5BA3F67A" w14:textId="77777777" w:rsidR="001E7A8B" w:rsidRPr="00B5605E" w:rsidRDefault="001E7A8B" w:rsidP="001E7A8B">
      <w:pPr>
        <w:pStyle w:val="Level2"/>
        <w:numPr>
          <w:ilvl w:val="0"/>
          <w:numId w:val="0"/>
        </w:numPr>
        <w:ind w:left="680"/>
      </w:pPr>
      <w:r>
        <w:t>“</w:t>
      </w:r>
      <w:r>
        <w:rPr>
          <w:b/>
          <w:bCs/>
        </w:rPr>
        <w:t>EATM Conversion Set</w:t>
      </w:r>
      <w:r>
        <w:t xml:space="preserve">” means all Transactions that are cleared by the Firm on behalf of the Client pursuant to this Client Clearing Agreement at the same Agreed CCP Service; </w:t>
      </w:r>
    </w:p>
    <w:p w14:paraId="3C339451" w14:textId="3ADE3448" w:rsidR="001E7A8B" w:rsidRDefault="001E7A8B" w:rsidP="001E7A8B">
      <w:pPr>
        <w:pStyle w:val="Level2"/>
        <w:numPr>
          <w:ilvl w:val="0"/>
          <w:numId w:val="0"/>
        </w:numPr>
        <w:ind w:left="680"/>
      </w:pPr>
      <w:r>
        <w:t>“</w:t>
      </w:r>
      <w:r>
        <w:rPr>
          <w:b/>
          <w:bCs/>
        </w:rPr>
        <w:t>EATM Conversion Time</w:t>
      </w:r>
      <w:r>
        <w:t>” means the time and date agreed between the Parties on which a</w:t>
      </w:r>
      <w:r w:rsidR="004D04D7">
        <w:t>n</w:t>
      </w:r>
      <w:r>
        <w:t xml:space="preserve"> EATM Conversion will be effected;</w:t>
      </w:r>
    </w:p>
    <w:p w14:paraId="211C3AFF" w14:textId="02C4AB84" w:rsidR="001E7A8B" w:rsidRPr="00E05F9F" w:rsidRDefault="001E7A8B" w:rsidP="001E7A8B">
      <w:pPr>
        <w:pStyle w:val="Level2"/>
        <w:numPr>
          <w:ilvl w:val="0"/>
          <w:numId w:val="0"/>
        </w:numPr>
        <w:ind w:left="680"/>
      </w:pPr>
      <w:r>
        <w:t>“</w:t>
      </w:r>
      <w:r>
        <w:rPr>
          <w:b/>
          <w:bCs/>
        </w:rPr>
        <w:t>EATM</w:t>
      </w:r>
      <w:r w:rsidRPr="007611DB">
        <w:rPr>
          <w:b/>
          <w:bCs/>
        </w:rPr>
        <w:t xml:space="preserve"> Conversion Transaction</w:t>
      </w:r>
      <w:r w:rsidRPr="007611DB">
        <w:t xml:space="preserve">” has the meaning given to that term in clause </w:t>
      </w:r>
      <w:r w:rsidRPr="007611DB">
        <w:fldChar w:fldCharType="begin" w:fldLock="1"/>
      </w:r>
      <w:r w:rsidRPr="007611DB">
        <w:instrText xml:space="preserve"> REF _Ref133075282 \r \h </w:instrText>
      </w:r>
      <w:r>
        <w:instrText xml:space="preserve"> \* MERGEFORMAT </w:instrText>
      </w:r>
      <w:r w:rsidRPr="007611DB">
        <w:fldChar w:fldCharType="separate"/>
      </w:r>
      <w:r w:rsidR="009646BC">
        <w:t>3.6.2(i)</w:t>
      </w:r>
      <w:r w:rsidRPr="007611DB">
        <w:fldChar w:fldCharType="end"/>
      </w:r>
      <w:r w:rsidRPr="007611DB">
        <w:t xml:space="preserve"> (</w:t>
      </w:r>
      <w:r w:rsidRPr="007611DB">
        <w:rPr>
          <w:i/>
          <w:iCs/>
        </w:rPr>
        <w:t>Conversion to Principal Model Agreement</w:t>
      </w:r>
      <w:r w:rsidRPr="007611DB">
        <w:t>);</w:t>
      </w:r>
      <w:r>
        <w:t xml:space="preserve"> </w:t>
      </w:r>
    </w:p>
    <w:p w14:paraId="16B11B76" w14:textId="3AF509B9" w:rsidR="00D76661" w:rsidRDefault="00D96A4D" w:rsidP="008162FB">
      <w:pPr>
        <w:pStyle w:val="Level2"/>
        <w:numPr>
          <w:ilvl w:val="0"/>
          <w:numId w:val="0"/>
        </w:numPr>
        <w:ind w:left="680"/>
      </w:pPr>
      <w:r w:rsidRPr="004C0F61">
        <w:t>“</w:t>
      </w:r>
      <w:r w:rsidRPr="00E05F9F">
        <w:rPr>
          <w:b/>
          <w:bCs/>
        </w:rPr>
        <w:t>Equivalent Distribution</w:t>
      </w:r>
      <w:r w:rsidR="00DA0A6F">
        <w:rPr>
          <w:b/>
          <w:bCs/>
        </w:rPr>
        <w:t>s</w:t>
      </w:r>
      <w:r w:rsidRPr="00E05F9F">
        <w:t xml:space="preserve">” has the meaning given to that term in clause </w:t>
      </w:r>
      <w:r w:rsidRPr="00E05F9F">
        <w:fldChar w:fldCharType="begin" w:fldLock="1"/>
      </w:r>
      <w:r w:rsidRPr="00E05F9F">
        <w:instrText xml:space="preserve"> REF _Ref133413758 \w \h </w:instrText>
      </w:r>
      <w:r w:rsidR="00E05F9F">
        <w:instrText xml:space="preserve"> \* MERGEFORMAT </w:instrText>
      </w:r>
      <w:r w:rsidRPr="00E05F9F">
        <w:fldChar w:fldCharType="separate"/>
      </w:r>
      <w:r w:rsidR="009646BC">
        <w:t>7.3.1(i)</w:t>
      </w:r>
      <w:r w:rsidRPr="00E05F9F">
        <w:fldChar w:fldCharType="end"/>
      </w:r>
      <w:r w:rsidRPr="00E05F9F">
        <w:t xml:space="preserve"> (</w:t>
      </w:r>
      <w:r w:rsidRPr="00E05F9F">
        <w:rPr>
          <w:i/>
          <w:iCs/>
        </w:rPr>
        <w:t>Distributions</w:t>
      </w:r>
      <w:r w:rsidRPr="00E05F9F">
        <w:t xml:space="preserve">); </w:t>
      </w:r>
    </w:p>
    <w:p w14:paraId="027148CD" w14:textId="6776383A" w:rsidR="00E70C4B" w:rsidRPr="00D76661" w:rsidRDefault="00E70C4B" w:rsidP="00E70C4B">
      <w:pPr>
        <w:pStyle w:val="Level2"/>
        <w:numPr>
          <w:ilvl w:val="0"/>
          <w:numId w:val="0"/>
        </w:numPr>
        <w:ind w:left="680"/>
      </w:pPr>
      <w:r>
        <w:t>“</w:t>
      </w:r>
      <w:r>
        <w:rPr>
          <w:b/>
          <w:bCs/>
        </w:rPr>
        <w:t>Equivalent Settled Assets</w:t>
      </w:r>
      <w:r>
        <w:t xml:space="preserve">” has the meaning given to that term in paragraph </w:t>
      </w:r>
      <w:r>
        <w:fldChar w:fldCharType="begin" w:fldLock="1"/>
      </w:r>
      <w:r>
        <w:instrText xml:space="preserve"> REF _Ref192803839 \r \h </w:instrText>
      </w:r>
      <w:r>
        <w:fldChar w:fldCharType="separate"/>
      </w:r>
      <w:r w:rsidR="009646BC">
        <w:t>9.1</w:t>
      </w:r>
      <w:r>
        <w:fldChar w:fldCharType="end"/>
      </w:r>
      <w:r>
        <w:t xml:space="preserve"> (</w:t>
      </w:r>
      <w:r>
        <w:rPr>
          <w:i/>
          <w:iCs/>
        </w:rPr>
        <w:t>Definitions</w:t>
      </w:r>
      <w:r>
        <w:t xml:space="preserve">) of the Segregated Asset Terms; </w:t>
      </w:r>
    </w:p>
    <w:p w14:paraId="53F2C0E7" w14:textId="3C582BC0" w:rsidR="00111047" w:rsidRPr="00D96A4D" w:rsidRDefault="00073FFC" w:rsidP="00DD3823">
      <w:pPr>
        <w:pStyle w:val="Level2"/>
        <w:numPr>
          <w:ilvl w:val="0"/>
          <w:numId w:val="0"/>
        </w:numPr>
        <w:ind w:left="680"/>
      </w:pPr>
      <w:r w:rsidRPr="00E05F9F">
        <w:t>“</w:t>
      </w:r>
      <w:r w:rsidR="00111047" w:rsidRPr="00746B1C">
        <w:rPr>
          <w:b/>
          <w:bCs/>
        </w:rPr>
        <w:t xml:space="preserve">Equivalent </w:t>
      </w:r>
      <w:r w:rsidR="0008015A" w:rsidRPr="00746B1C">
        <w:rPr>
          <w:b/>
          <w:bCs/>
        </w:rPr>
        <w:t>Title Transfer Assets</w:t>
      </w:r>
      <w:r w:rsidRPr="00E05F9F">
        <w:t>”</w:t>
      </w:r>
      <w:r w:rsidR="00111047" w:rsidRPr="00E05F9F">
        <w:t xml:space="preserve"> means cash</w:t>
      </w:r>
      <w:r w:rsidR="00814AD2">
        <w:t>,</w:t>
      </w:r>
      <w:r w:rsidR="00111047" w:rsidRPr="00E05F9F">
        <w:t xml:space="preserve"> securities</w:t>
      </w:r>
      <w:r w:rsidR="00814AD2">
        <w:t xml:space="preserve"> and/or other assets</w:t>
      </w:r>
      <w:r w:rsidR="00111047" w:rsidRPr="00E05F9F">
        <w:t xml:space="preserve"> of the same type, nominal value, description and amount as </w:t>
      </w:r>
      <w:r w:rsidR="00E75240">
        <w:t xml:space="preserve">any </w:t>
      </w:r>
      <w:r w:rsidR="00814AD2" w:rsidRPr="00DD3823">
        <w:t>Title Transfer Asset</w:t>
      </w:r>
      <w:r w:rsidR="001B3A0A" w:rsidRPr="00A70362">
        <w:t xml:space="preserve"> in respect of the Transaction</w:t>
      </w:r>
      <w:r w:rsidR="00111047" w:rsidRPr="00111047">
        <w:t xml:space="preserve"> (or, if any </w:t>
      </w:r>
      <w:r w:rsidR="006164EA">
        <w:t>Title Transfer Assets have</w:t>
      </w:r>
      <w:r w:rsidR="00111047" w:rsidRPr="00111047">
        <w:t xml:space="preserve"> been redenominated, converted, redeemed or otherwise modified, cash</w:t>
      </w:r>
      <w:r w:rsidR="006164EA">
        <w:t>,</w:t>
      </w:r>
      <w:r w:rsidR="00111047" w:rsidRPr="00111047">
        <w:t xml:space="preserve"> securities </w:t>
      </w:r>
      <w:r w:rsidR="006164EA">
        <w:t>and/or other assets</w:t>
      </w:r>
      <w:r w:rsidR="00111047" w:rsidRPr="00111047">
        <w:t xml:space="preserve"> of the same type, nominal value, description and amount of the cash</w:t>
      </w:r>
      <w:r w:rsidR="006164EA">
        <w:t>,</w:t>
      </w:r>
      <w:r w:rsidR="00111047" w:rsidRPr="00111047">
        <w:t xml:space="preserve"> securities</w:t>
      </w:r>
      <w:r w:rsidR="006164EA">
        <w:t xml:space="preserve"> and/or other assets</w:t>
      </w:r>
      <w:r w:rsidR="00111047" w:rsidRPr="00111047">
        <w:t xml:space="preserve"> into which</w:t>
      </w:r>
      <w:r w:rsidR="006164EA">
        <w:t xml:space="preserve"> Title Transfer Assets</w:t>
      </w:r>
      <w:r w:rsidR="00111047" w:rsidRPr="00111047">
        <w:t xml:space="preserve"> ha</w:t>
      </w:r>
      <w:r w:rsidR="006164EA">
        <w:t>ve</w:t>
      </w:r>
      <w:r w:rsidR="00111047" w:rsidRPr="00111047">
        <w:t xml:space="preserve"> been redenominated, converted, redeemed or otherwise modified);</w:t>
      </w:r>
    </w:p>
    <w:p w14:paraId="6CA03612" w14:textId="412DA2BF" w:rsidR="00111047" w:rsidRDefault="00073FFC" w:rsidP="00111047">
      <w:pPr>
        <w:pStyle w:val="Level2"/>
        <w:numPr>
          <w:ilvl w:val="0"/>
          <w:numId w:val="0"/>
        </w:numPr>
        <w:ind w:left="680"/>
      </w:pPr>
      <w:r>
        <w:lastRenderedPageBreak/>
        <w:t>“</w:t>
      </w:r>
      <w:r w:rsidR="00111047" w:rsidRPr="00111047">
        <w:rPr>
          <w:b/>
          <w:bCs/>
        </w:rPr>
        <w:t>Erroneous Payment</w:t>
      </w:r>
      <w:r>
        <w:t>”</w:t>
      </w:r>
      <w:r w:rsidR="00111047" w:rsidRPr="00111047">
        <w:t xml:space="preserve"> means a payment of an amount by the Firm which the Firm determines (in its sole discretion) was made in error;</w:t>
      </w:r>
    </w:p>
    <w:p w14:paraId="123F95AF" w14:textId="13483417" w:rsidR="00111047" w:rsidRDefault="00111047" w:rsidP="00111047">
      <w:pPr>
        <w:pStyle w:val="Level2"/>
        <w:numPr>
          <w:ilvl w:val="0"/>
          <w:numId w:val="0"/>
        </w:numPr>
        <w:ind w:left="680"/>
      </w:pPr>
      <w:r>
        <w:t>“</w:t>
      </w:r>
      <w:r>
        <w:rPr>
          <w:b/>
          <w:bCs/>
        </w:rPr>
        <w:t>EU</w:t>
      </w:r>
      <w:r>
        <w:t>” means the European Union;</w:t>
      </w:r>
    </w:p>
    <w:p w14:paraId="09055F3F" w14:textId="74578062" w:rsidR="00476A84" w:rsidRPr="00476A84" w:rsidRDefault="00111047" w:rsidP="001804BA">
      <w:pPr>
        <w:pStyle w:val="Level2"/>
        <w:numPr>
          <w:ilvl w:val="0"/>
          <w:numId w:val="0"/>
        </w:numPr>
        <w:ind w:left="680"/>
      </w:pPr>
      <w:r>
        <w:t>“</w:t>
      </w:r>
      <w:r>
        <w:rPr>
          <w:b/>
          <w:bCs/>
        </w:rPr>
        <w:t>Event of Default</w:t>
      </w:r>
      <w:r>
        <w:t xml:space="preserve">” has the meaning given to that term in clause </w:t>
      </w:r>
      <w:r>
        <w:fldChar w:fldCharType="begin" w:fldLock="1"/>
      </w:r>
      <w:r>
        <w:instrText xml:space="preserve"> REF _Ref133414439 \w \h </w:instrText>
      </w:r>
      <w:r>
        <w:fldChar w:fldCharType="separate"/>
      </w:r>
      <w:r w:rsidR="009646BC">
        <w:t>10.1</w:t>
      </w:r>
      <w:r>
        <w:fldChar w:fldCharType="end"/>
      </w:r>
      <w:r>
        <w:t xml:space="preserve"> (</w:t>
      </w:r>
      <w:r>
        <w:rPr>
          <w:i/>
          <w:iCs/>
        </w:rPr>
        <w:t>Events of Default</w:t>
      </w:r>
      <w:r w:rsidRPr="004C0F61">
        <w:t>)</w:t>
      </w:r>
      <w:r>
        <w:t>;</w:t>
      </w:r>
    </w:p>
    <w:p w14:paraId="54CF5AB7" w14:textId="72DFAC02" w:rsidR="00DA18F1" w:rsidRPr="00DA18F1" w:rsidRDefault="00DA18F1" w:rsidP="001804BA">
      <w:pPr>
        <w:pStyle w:val="Level2"/>
        <w:numPr>
          <w:ilvl w:val="0"/>
          <w:numId w:val="0"/>
        </w:numPr>
        <w:ind w:left="680"/>
      </w:pPr>
      <w:r>
        <w:t>“</w:t>
      </w:r>
      <w:r>
        <w:rPr>
          <w:b/>
          <w:bCs/>
        </w:rPr>
        <w:t>Existing Transaction</w:t>
      </w:r>
      <w:r w:rsidR="001A22DB">
        <w:rPr>
          <w:b/>
          <w:bCs/>
        </w:rPr>
        <w:t>s</w:t>
      </w:r>
      <w:r>
        <w:t>” has the meaning given to that term in the definition of “Compress</w:t>
      </w:r>
      <w:r w:rsidR="003E745F">
        <w:t>ed</w:t>
      </w:r>
      <w:r>
        <w:t xml:space="preserve">”; </w:t>
      </w:r>
    </w:p>
    <w:p w14:paraId="1A7B7BCA" w14:textId="66AB35E7" w:rsidR="00111047" w:rsidRPr="00111047" w:rsidRDefault="00073FFC" w:rsidP="00111047">
      <w:pPr>
        <w:pStyle w:val="Level2"/>
        <w:numPr>
          <w:ilvl w:val="0"/>
          <w:numId w:val="0"/>
        </w:numPr>
        <w:ind w:left="680"/>
        <w:rPr>
          <w:b/>
          <w:bCs/>
        </w:rPr>
      </w:pPr>
      <w:r w:rsidRPr="001A6624">
        <w:t>“</w:t>
      </w:r>
      <w:r w:rsidR="00111047" w:rsidRPr="00111047">
        <w:rPr>
          <w:b/>
          <w:bCs/>
        </w:rPr>
        <w:t>FATCA</w:t>
      </w:r>
      <w:r w:rsidRPr="004C0F61">
        <w:t>”</w:t>
      </w:r>
      <w:r w:rsidR="00111047" w:rsidRPr="00111047">
        <w:rPr>
          <w:b/>
          <w:bCs/>
        </w:rPr>
        <w:t xml:space="preserve"> </w:t>
      </w:r>
      <w:r w:rsidR="00111047" w:rsidRPr="00111047">
        <w:t>means:</w:t>
      </w:r>
    </w:p>
    <w:p w14:paraId="0E48A5EA" w14:textId="3FC4E9A3" w:rsidR="00111047" w:rsidRPr="00111047" w:rsidRDefault="00111047" w:rsidP="001A6624">
      <w:pPr>
        <w:pStyle w:val="alpha2"/>
        <w:numPr>
          <w:ilvl w:val="1"/>
          <w:numId w:val="102"/>
        </w:numPr>
      </w:pPr>
      <w:bookmarkStart w:id="152" w:name="_Ref192019093"/>
      <w:r w:rsidRPr="00111047">
        <w:t>sections 1471 to 1474 of the US Internal Revenue Code or any associated regulations;</w:t>
      </w:r>
      <w:bookmarkEnd w:id="152"/>
    </w:p>
    <w:p w14:paraId="1411B7F6" w14:textId="038456DC" w:rsidR="00111047" w:rsidRPr="00111047" w:rsidRDefault="00111047" w:rsidP="001A6624">
      <w:pPr>
        <w:pStyle w:val="alpha2"/>
      </w:pPr>
      <w:bookmarkStart w:id="153" w:name="_Ref192019116"/>
      <w:r w:rsidRPr="00111047">
        <w:t xml:space="preserve">any treaty, law or regulation of any other jurisdiction, or relating to an intergovernmental agreement between the US and any other jurisdiction, which (in either case) facilitates the implementation of any law or regulation referred to in paragraph </w:t>
      </w:r>
      <w:r w:rsidR="00A535D1">
        <w:fldChar w:fldCharType="begin" w:fldLock="1"/>
      </w:r>
      <w:r w:rsidR="00A535D1">
        <w:instrText xml:space="preserve"> REF _Ref192019093 \n \h </w:instrText>
      </w:r>
      <w:r w:rsidR="00A535D1">
        <w:fldChar w:fldCharType="separate"/>
      </w:r>
      <w:r w:rsidR="009646BC">
        <w:t>(a)</w:t>
      </w:r>
      <w:r w:rsidR="00A535D1">
        <w:fldChar w:fldCharType="end"/>
      </w:r>
      <w:r>
        <w:t xml:space="preserve"> </w:t>
      </w:r>
      <w:r w:rsidRPr="00111047">
        <w:t>above; or</w:t>
      </w:r>
      <w:bookmarkEnd w:id="153"/>
    </w:p>
    <w:p w14:paraId="230B11F1" w14:textId="18760D32" w:rsidR="00111047" w:rsidRDefault="00111047" w:rsidP="001A6624">
      <w:pPr>
        <w:pStyle w:val="alpha2"/>
      </w:pPr>
      <w:r w:rsidRPr="00111047">
        <w:t xml:space="preserve">any agreement pursuant to the implementation of any treaty, law or regulation referred to in paragraph </w:t>
      </w:r>
      <w:r w:rsidR="00A535D1">
        <w:fldChar w:fldCharType="begin" w:fldLock="1"/>
      </w:r>
      <w:r w:rsidR="00A535D1">
        <w:instrText xml:space="preserve"> REF _Ref192019093 \n \h </w:instrText>
      </w:r>
      <w:r w:rsidR="00A535D1">
        <w:fldChar w:fldCharType="separate"/>
      </w:r>
      <w:r w:rsidR="009646BC">
        <w:t>(a)</w:t>
      </w:r>
      <w:r w:rsidR="00A535D1">
        <w:fldChar w:fldCharType="end"/>
      </w:r>
      <w:r w:rsidRPr="00111047">
        <w:t xml:space="preserve"> or </w:t>
      </w:r>
      <w:r w:rsidR="00A535D1">
        <w:fldChar w:fldCharType="begin" w:fldLock="1"/>
      </w:r>
      <w:r w:rsidR="00A535D1">
        <w:instrText xml:space="preserve"> REF _Ref192019116 \n \h </w:instrText>
      </w:r>
      <w:r w:rsidR="00A535D1">
        <w:fldChar w:fldCharType="separate"/>
      </w:r>
      <w:r w:rsidR="009646BC">
        <w:t>(b)</w:t>
      </w:r>
      <w:r w:rsidR="00A535D1">
        <w:fldChar w:fldCharType="end"/>
      </w:r>
      <w:r w:rsidRPr="00111047">
        <w:t xml:space="preserve"> above with the US Internal Revenue Service, the US government or any governmental or taxation authority in any other jurisdiction;</w:t>
      </w:r>
    </w:p>
    <w:p w14:paraId="480CDD3F" w14:textId="09D6CBC8" w:rsidR="00111047" w:rsidRDefault="00073FFC" w:rsidP="00111047">
      <w:pPr>
        <w:pStyle w:val="roman2"/>
        <w:numPr>
          <w:ilvl w:val="0"/>
          <w:numId w:val="0"/>
        </w:numPr>
        <w:ind w:left="680"/>
      </w:pPr>
      <w:r>
        <w:t>“</w:t>
      </w:r>
      <w:r w:rsidR="00111047" w:rsidRPr="00111047">
        <w:rPr>
          <w:b/>
          <w:bCs/>
        </w:rPr>
        <w:t>FATCA Deduction</w:t>
      </w:r>
      <w:r>
        <w:t>”</w:t>
      </w:r>
      <w:r w:rsidR="00111047" w:rsidRPr="00111047">
        <w:t xml:space="preserve"> means a deduction or withholding from a payment under th</w:t>
      </w:r>
      <w:r w:rsidR="00B15C85">
        <w:t>e</w:t>
      </w:r>
      <w:r w:rsidR="00111047" w:rsidRPr="00111047">
        <w:t xml:space="preserve"> Agreement required by FATCA;</w:t>
      </w:r>
    </w:p>
    <w:p w14:paraId="2430AFA4" w14:textId="08622512" w:rsidR="00111047" w:rsidRDefault="00073FFC" w:rsidP="00111047">
      <w:pPr>
        <w:pStyle w:val="roman2"/>
        <w:numPr>
          <w:ilvl w:val="0"/>
          <w:numId w:val="0"/>
        </w:numPr>
        <w:ind w:left="680"/>
      </w:pPr>
      <w:r>
        <w:t>“</w:t>
      </w:r>
      <w:r w:rsidR="00111047" w:rsidRPr="00111047">
        <w:rPr>
          <w:b/>
          <w:bCs/>
        </w:rPr>
        <w:t>FCA</w:t>
      </w:r>
      <w:r>
        <w:t>”</w:t>
      </w:r>
      <w:r w:rsidR="00111047">
        <w:t xml:space="preserve"> means the Financial Conduct Authority;</w:t>
      </w:r>
    </w:p>
    <w:p w14:paraId="481E10A1" w14:textId="36F46861" w:rsidR="00111047" w:rsidRDefault="00073FFC" w:rsidP="00111047">
      <w:pPr>
        <w:pStyle w:val="roman2"/>
        <w:numPr>
          <w:ilvl w:val="0"/>
          <w:numId w:val="0"/>
        </w:numPr>
        <w:ind w:left="680"/>
      </w:pPr>
      <w:r>
        <w:t>“</w:t>
      </w:r>
      <w:r w:rsidR="00111047" w:rsidRPr="00111047">
        <w:rPr>
          <w:b/>
          <w:bCs/>
        </w:rPr>
        <w:t>FCA Rules</w:t>
      </w:r>
      <w:r>
        <w:t>”</w:t>
      </w:r>
      <w:r w:rsidR="00111047">
        <w:t xml:space="preserve"> means the FCA</w:t>
      </w:r>
      <w:r>
        <w:t>’</w:t>
      </w:r>
      <w:r w:rsidR="00111047">
        <w:t>s handbook of rules and guidance;</w:t>
      </w:r>
    </w:p>
    <w:p w14:paraId="70F0F3A7" w14:textId="7FB70AFF" w:rsidR="0042578A" w:rsidRDefault="0042578A" w:rsidP="00E734B3">
      <w:pPr>
        <w:pStyle w:val="Level2"/>
        <w:numPr>
          <w:ilvl w:val="0"/>
          <w:numId w:val="0"/>
        </w:numPr>
        <w:ind w:left="680"/>
      </w:pPr>
      <w:r w:rsidRPr="001A6624">
        <w:t>“</w:t>
      </w:r>
      <w:r>
        <w:rPr>
          <w:b/>
          <w:bCs/>
        </w:rPr>
        <w:t>Firm Trigger Event</w:t>
      </w:r>
      <w:r>
        <w:t xml:space="preserve">” has the meaning given to that term in clause </w:t>
      </w:r>
      <w:r>
        <w:fldChar w:fldCharType="begin" w:fldLock="1"/>
      </w:r>
      <w:r>
        <w:instrText xml:space="preserve"> REF _Ref133341621 \w \h </w:instrText>
      </w:r>
      <w:r>
        <w:fldChar w:fldCharType="separate"/>
      </w:r>
      <w:r w:rsidR="009646BC">
        <w:t>12.1</w:t>
      </w:r>
      <w:r>
        <w:fldChar w:fldCharType="end"/>
      </w:r>
      <w:r>
        <w:t xml:space="preserve"> (</w:t>
      </w:r>
      <w:r>
        <w:rPr>
          <w:i/>
          <w:iCs/>
        </w:rPr>
        <w:t>Firm Trigger Event</w:t>
      </w:r>
      <w:r>
        <w:t>)</w:t>
      </w:r>
      <w:r w:rsidR="00111047">
        <w:t>;</w:t>
      </w:r>
    </w:p>
    <w:p w14:paraId="593CD4D4" w14:textId="5CDE06C5" w:rsidR="008576EA" w:rsidRDefault="00073FFC" w:rsidP="008576EA">
      <w:pPr>
        <w:pStyle w:val="Level2"/>
        <w:numPr>
          <w:ilvl w:val="0"/>
          <w:numId w:val="0"/>
        </w:numPr>
        <w:ind w:left="680"/>
      </w:pPr>
      <w:r>
        <w:t>“</w:t>
      </w:r>
      <w:r w:rsidR="008576EA" w:rsidRPr="008576EA">
        <w:rPr>
          <w:b/>
          <w:bCs/>
        </w:rPr>
        <w:t>Infrastructure</w:t>
      </w:r>
      <w:r>
        <w:t>”</w:t>
      </w:r>
      <w:r w:rsidR="008576EA">
        <w:t xml:space="preserve"> means any CCP, settlement system, trading venue or trade repository; </w:t>
      </w:r>
    </w:p>
    <w:p w14:paraId="0DBDA7A7" w14:textId="619FDE61" w:rsidR="008576EA" w:rsidRDefault="00073FFC" w:rsidP="008576EA">
      <w:pPr>
        <w:pStyle w:val="Level2"/>
        <w:numPr>
          <w:ilvl w:val="0"/>
          <w:numId w:val="0"/>
        </w:numPr>
        <w:ind w:left="680"/>
      </w:pPr>
      <w:r>
        <w:t>“</w:t>
      </w:r>
      <w:r w:rsidR="008576EA" w:rsidRPr="008576EA">
        <w:rPr>
          <w:b/>
          <w:bCs/>
        </w:rPr>
        <w:t>Insolvency Event</w:t>
      </w:r>
      <w:r>
        <w:t>”</w:t>
      </w:r>
      <w:r w:rsidR="008576EA">
        <w:t xml:space="preserve"> means, in relation to any person:</w:t>
      </w:r>
    </w:p>
    <w:p w14:paraId="3FD574F4" w14:textId="72D7FDAC" w:rsidR="008576EA" w:rsidRDefault="008576EA" w:rsidP="001A6624">
      <w:pPr>
        <w:pStyle w:val="alpha2"/>
        <w:numPr>
          <w:ilvl w:val="1"/>
          <w:numId w:val="106"/>
        </w:numPr>
      </w:pPr>
      <w:r>
        <w:t>the person commences a voluntary case or other procedure seeking or proposing liquidation, administration, reorganisation (by way of voluntary arrangement, scheme of arrangement or compromise or arrangement), moratorium, or other similar relief or the equivalent in another jurisdiction with respect to the person or the person</w:t>
      </w:r>
      <w:r w:rsidR="00073FFC">
        <w:t>’</w:t>
      </w:r>
      <w:r>
        <w:t xml:space="preserve">s debts under any insolvency, regulatory, corporate or similar law, or seeking the appointment of a receiver, liquidator, administrator or other similar official, or the equivalent in another jurisdiction (each an </w:t>
      </w:r>
      <w:r w:rsidR="00073FFC">
        <w:t>“</w:t>
      </w:r>
      <w:r w:rsidRPr="001E6923">
        <w:rPr>
          <w:b/>
          <w:bCs/>
        </w:rPr>
        <w:t>Insolvency Official</w:t>
      </w:r>
      <w:r w:rsidR="00073FFC">
        <w:t>”</w:t>
      </w:r>
      <w:r>
        <w:t>) of the person or any substantial part of the person</w:t>
      </w:r>
      <w:r w:rsidR="00073FFC">
        <w:t>’</w:t>
      </w:r>
      <w:r>
        <w:t xml:space="preserve">s assets, or the person proposes a compromise or composition with its creditors, or the person takes any corporate action to authorise any of the foregoing; </w:t>
      </w:r>
    </w:p>
    <w:p w14:paraId="7AF492D2" w14:textId="19CCB50E" w:rsidR="008576EA" w:rsidRDefault="008576EA" w:rsidP="001A6624">
      <w:pPr>
        <w:pStyle w:val="alpha2"/>
      </w:pPr>
      <w:r>
        <w:t>an involuntary case or other procedure is commenced against the person, seeking or proposing liquidation, administration, reorganisation or moratorium, or other similar relief or the equivalent in another jurisdiction with respect to the person or the person</w:t>
      </w:r>
      <w:r w:rsidR="00073FFC">
        <w:t>’</w:t>
      </w:r>
      <w:r>
        <w:t>s debts under any insolvency, regulatory, corporate or similar law or seeking the appointment of an Insolvency Official of the person or any substantial part of the person</w:t>
      </w:r>
      <w:r w:rsidR="00073FFC">
        <w:t>’</w:t>
      </w:r>
      <w:r>
        <w:t>s assets; and/or</w:t>
      </w:r>
    </w:p>
    <w:p w14:paraId="579ED519" w14:textId="279E6265" w:rsidR="008576EA" w:rsidRDefault="008576EA" w:rsidP="001A6624">
      <w:pPr>
        <w:pStyle w:val="alpha2"/>
      </w:pPr>
      <w:r>
        <w:lastRenderedPageBreak/>
        <w:t xml:space="preserve">the person is unable to pay its debts as they fall due or is bankrupt or insolvent, as defined under any bankruptcy or insolvency law applicable to the person; or any indebtedness of the person is not paid on the due date, or becomes capable at any time of being declared due and payable under agreements or instruments evidencing such indebtedness before it would otherwise have been due and payable, or any suit, action or other proceedings relating to this </w:t>
      </w:r>
      <w:r w:rsidR="00E7736A">
        <w:t xml:space="preserve">Client Clearing </w:t>
      </w:r>
      <w:r>
        <w:t>Agreement are commenced for any execution, any attachment or garnishment, or distress against, or an encumbrancer takes possession of, the whole or any part of the person</w:t>
      </w:r>
      <w:r w:rsidR="00073FFC">
        <w:t>’</w:t>
      </w:r>
      <w:r>
        <w:t>s property, undertaking or assets (tangible and intangible);</w:t>
      </w:r>
    </w:p>
    <w:p w14:paraId="11111832" w14:textId="767CDAEC" w:rsidR="00276E6D" w:rsidRPr="00812256" w:rsidRDefault="00073FFC" w:rsidP="00276E6D">
      <w:pPr>
        <w:pStyle w:val="roman2"/>
        <w:numPr>
          <w:ilvl w:val="0"/>
          <w:numId w:val="0"/>
        </w:numPr>
        <w:ind w:left="680"/>
      </w:pPr>
      <w:r>
        <w:t>“</w:t>
      </w:r>
      <w:r w:rsidR="00276E6D" w:rsidRPr="00276E6D">
        <w:rPr>
          <w:b/>
          <w:bCs/>
        </w:rPr>
        <w:t>Loss</w:t>
      </w:r>
      <w:r>
        <w:t>”</w:t>
      </w:r>
      <w:r w:rsidR="00276E6D" w:rsidRPr="00276E6D">
        <w:t xml:space="preserve"> or </w:t>
      </w:r>
      <w:r>
        <w:t>“</w:t>
      </w:r>
      <w:r w:rsidR="00276E6D" w:rsidRPr="00276E6D">
        <w:rPr>
          <w:b/>
          <w:bCs/>
        </w:rPr>
        <w:t>Losses</w:t>
      </w:r>
      <w:r>
        <w:t>”</w:t>
      </w:r>
      <w:r w:rsidR="00276E6D" w:rsidRPr="00276E6D">
        <w:t xml:space="preserve"> </w:t>
      </w:r>
      <w:r w:rsidR="000F30CE" w:rsidRPr="000F1B89">
        <w:t xml:space="preserve">has the meaning given to that term in paragraph </w:t>
      </w:r>
      <w:r w:rsidR="000C239C">
        <w:fldChar w:fldCharType="begin" w:fldLock="1"/>
      </w:r>
      <w:r w:rsidR="000C239C">
        <w:instrText xml:space="preserve"> REF _Ref161349917 \r \h </w:instrText>
      </w:r>
      <w:r w:rsidR="000C239C">
        <w:fldChar w:fldCharType="separate"/>
      </w:r>
      <w:r w:rsidR="009646BC">
        <w:t>9.1</w:t>
      </w:r>
      <w:r w:rsidR="000C239C">
        <w:fldChar w:fldCharType="end"/>
      </w:r>
      <w:r w:rsidR="000F30CE" w:rsidRPr="000F1B89">
        <w:t xml:space="preserve"> </w:t>
      </w:r>
      <w:r w:rsidR="00D83434">
        <w:t>(</w:t>
      </w:r>
      <w:r w:rsidR="00D83434" w:rsidRPr="00D83434">
        <w:rPr>
          <w:i/>
          <w:iCs/>
        </w:rPr>
        <w:t>Definitions</w:t>
      </w:r>
      <w:r w:rsidR="00D83434">
        <w:t xml:space="preserve">) </w:t>
      </w:r>
      <w:r w:rsidR="000F30CE" w:rsidRPr="00D83434">
        <w:t>of</w:t>
      </w:r>
      <w:r w:rsidR="000F30CE" w:rsidRPr="000F1B89">
        <w:t xml:space="preserve"> </w:t>
      </w:r>
      <w:r w:rsidR="00546526">
        <w:t>the Segrega</w:t>
      </w:r>
      <w:r w:rsidR="000F30CE" w:rsidRPr="000F1B89">
        <w:t>t</w:t>
      </w:r>
      <w:r w:rsidR="00546526">
        <w:t>ed Asset Terms</w:t>
      </w:r>
      <w:r w:rsidR="00276E6D" w:rsidRPr="00276E6D">
        <w:t>;</w:t>
      </w:r>
    </w:p>
    <w:p w14:paraId="6B2A626E" w14:textId="28BE651B" w:rsidR="00276E6D" w:rsidRDefault="00073FFC" w:rsidP="00276E6D">
      <w:pPr>
        <w:pStyle w:val="roman2"/>
        <w:numPr>
          <w:ilvl w:val="0"/>
          <w:numId w:val="0"/>
        </w:numPr>
        <w:ind w:left="680"/>
      </w:pPr>
      <w:r>
        <w:t>“</w:t>
      </w:r>
      <w:r w:rsidR="00276E6D" w:rsidRPr="00276E6D">
        <w:rPr>
          <w:b/>
          <w:bCs/>
        </w:rPr>
        <w:t>Mandatory CCP Provisions</w:t>
      </w:r>
      <w:r>
        <w:t>”</w:t>
      </w:r>
      <w:r w:rsidR="00276E6D" w:rsidRPr="00276E6D">
        <w:t xml:space="preserve"> means, with respect to a Clearing Service: (i) the provisions, if any, specified as such in respect of such</w:t>
      </w:r>
      <w:r w:rsidR="00B74DCB" w:rsidRPr="00B74DCB">
        <w:t xml:space="preserve"> </w:t>
      </w:r>
      <w:r w:rsidR="00B74DCB" w:rsidRPr="00276E6D">
        <w:t>Clearing Service</w:t>
      </w:r>
      <w:r w:rsidR="00276E6D" w:rsidRPr="00276E6D">
        <w:t xml:space="preserve"> in the Annex (which may be by reference to a website of the relevant CCP); or (ii) if no such provisions are specified, each provision, if any, specified by the relevant CCP in respect of any Clearing Service as mandatory for inclusion in the terms of </w:t>
      </w:r>
      <w:r w:rsidR="00276E6D">
        <w:t>agreements</w:t>
      </w:r>
      <w:r w:rsidR="00276E6D" w:rsidRPr="00276E6D">
        <w:t xml:space="preserve"> between clearing members of that CCP and their respective clients (to the extent that such clients are of the same classification for the purposes of the relevant Rules);</w:t>
      </w:r>
    </w:p>
    <w:p w14:paraId="77B90952" w14:textId="007C0AB3" w:rsidR="000B4EBF" w:rsidRPr="000B4EBF" w:rsidRDefault="000B4EBF" w:rsidP="00276E6D">
      <w:pPr>
        <w:pStyle w:val="roman2"/>
        <w:numPr>
          <w:ilvl w:val="0"/>
          <w:numId w:val="0"/>
        </w:numPr>
        <w:ind w:left="680"/>
      </w:pPr>
      <w:r>
        <w:t>“</w:t>
      </w:r>
      <w:r>
        <w:rPr>
          <w:b/>
          <w:bCs/>
        </w:rPr>
        <w:t>Margin Requirement</w:t>
      </w:r>
      <w:r>
        <w:t xml:space="preserve">” has the meaning given to that term in clause </w:t>
      </w:r>
      <w:r>
        <w:fldChar w:fldCharType="begin" w:fldLock="1"/>
      </w:r>
      <w:r>
        <w:instrText xml:space="preserve"> REF _Ref160617864 \w \h </w:instrText>
      </w:r>
      <w:r>
        <w:fldChar w:fldCharType="separate"/>
      </w:r>
      <w:r w:rsidR="009646BC">
        <w:t>6.1.1</w:t>
      </w:r>
      <w:r>
        <w:fldChar w:fldCharType="end"/>
      </w:r>
      <w:r>
        <w:t xml:space="preserve"> (</w:t>
      </w:r>
      <w:r>
        <w:rPr>
          <w:i/>
          <w:iCs/>
        </w:rPr>
        <w:t xml:space="preserve">Performance and </w:t>
      </w:r>
      <w:r w:rsidR="00E70C4B">
        <w:rPr>
          <w:i/>
          <w:iCs/>
        </w:rPr>
        <w:t>s</w:t>
      </w:r>
      <w:r>
        <w:rPr>
          <w:i/>
          <w:iCs/>
        </w:rPr>
        <w:t>ettlement</w:t>
      </w:r>
      <w:r>
        <w:t xml:space="preserve">); </w:t>
      </w:r>
    </w:p>
    <w:p w14:paraId="46A2B47F" w14:textId="135707D2" w:rsidR="005A0356" w:rsidRPr="008576EA" w:rsidRDefault="005A0356" w:rsidP="00276E6D">
      <w:pPr>
        <w:pStyle w:val="roman2"/>
        <w:numPr>
          <w:ilvl w:val="0"/>
          <w:numId w:val="0"/>
        </w:numPr>
        <w:ind w:left="680"/>
      </w:pPr>
      <w:r w:rsidRPr="008B652E">
        <w:t>“</w:t>
      </w:r>
      <w:r w:rsidRPr="008B652E">
        <w:rPr>
          <w:b/>
          <w:bCs/>
        </w:rPr>
        <w:t>Net Termination Amount</w:t>
      </w:r>
      <w:r w:rsidRPr="008B652E">
        <w:t xml:space="preserve">” means the </w:t>
      </w:r>
      <w:r w:rsidR="000A3A39">
        <w:t xml:space="preserve">Value of the </w:t>
      </w:r>
      <w:r w:rsidR="00265F58" w:rsidRPr="008B652E">
        <w:t>Title Transfer Balance</w:t>
      </w:r>
      <w:r w:rsidRPr="008B652E">
        <w:t xml:space="preserve"> </w:t>
      </w:r>
      <w:r w:rsidR="008B652E">
        <w:t>minus</w:t>
      </w:r>
      <w:r w:rsidR="005A4FFF">
        <w:t>:</w:t>
      </w:r>
      <w:r w:rsidR="008B652E">
        <w:t xml:space="preserve"> (i) </w:t>
      </w:r>
      <w:r w:rsidR="005A4FFF">
        <w:t>any Shortfall Amounts; and (ii) any other liabilities owing to the Firm after all amounts due in respect of the Event of Default</w:t>
      </w:r>
      <w:r w:rsidR="00BB7EB4">
        <w:t xml:space="preserve"> have been calculated in accordance with clauses </w:t>
      </w:r>
      <w:r w:rsidR="00BB7EB4">
        <w:fldChar w:fldCharType="begin" w:fldLock="1"/>
      </w:r>
      <w:r w:rsidR="00BB7EB4">
        <w:instrText xml:space="preserve"> REF _Ref152148112 \r \h </w:instrText>
      </w:r>
      <w:r w:rsidR="00BB7EB4">
        <w:fldChar w:fldCharType="separate"/>
      </w:r>
      <w:r w:rsidR="009646BC">
        <w:t>11</w:t>
      </w:r>
      <w:r w:rsidR="00BB7EB4">
        <w:fldChar w:fldCharType="end"/>
      </w:r>
      <w:r w:rsidR="00BB7EB4">
        <w:t xml:space="preserve"> (</w:t>
      </w:r>
      <w:r w:rsidR="00BB7EB4">
        <w:rPr>
          <w:i/>
          <w:iCs/>
        </w:rPr>
        <w:t>Rights of the Firm following an Event of Default</w:t>
      </w:r>
      <w:r w:rsidR="00BB7EB4">
        <w:t xml:space="preserve">) and </w:t>
      </w:r>
      <w:r w:rsidR="00BB7EB4">
        <w:fldChar w:fldCharType="begin" w:fldLock="1"/>
      </w:r>
      <w:r w:rsidR="00BB7EB4">
        <w:instrText xml:space="preserve"> REF _Ref139991379 \r \h </w:instrText>
      </w:r>
      <w:r w:rsidR="00BB7EB4">
        <w:fldChar w:fldCharType="separate"/>
      </w:r>
      <w:r w:rsidR="009646BC">
        <w:t>15</w:t>
      </w:r>
      <w:r w:rsidR="00BB7EB4">
        <w:fldChar w:fldCharType="end"/>
      </w:r>
      <w:r w:rsidR="00BB7EB4">
        <w:t xml:space="preserve"> (</w:t>
      </w:r>
      <w:r w:rsidR="00BB7EB4" w:rsidRPr="00614504">
        <w:rPr>
          <w:i/>
          <w:iCs/>
        </w:rPr>
        <w:t>Shortfall Amount</w:t>
      </w:r>
      <w:r w:rsidR="004578F9">
        <w:rPr>
          <w:i/>
          <w:iCs/>
        </w:rPr>
        <w:t>s</w:t>
      </w:r>
      <w:r w:rsidR="00BB7EB4">
        <w:t>)</w:t>
      </w:r>
      <w:r w:rsidR="00812A4A" w:rsidRPr="008B652E">
        <w:t>;</w:t>
      </w:r>
    </w:p>
    <w:p w14:paraId="627ACB04" w14:textId="30879558" w:rsidR="00692A4A" w:rsidRDefault="00692A4A" w:rsidP="0081360A">
      <w:pPr>
        <w:pStyle w:val="Level2"/>
        <w:numPr>
          <w:ilvl w:val="0"/>
          <w:numId w:val="0"/>
        </w:numPr>
        <w:ind w:left="680"/>
      </w:pPr>
      <w:r>
        <w:t>“</w:t>
      </w:r>
      <w:r>
        <w:rPr>
          <w:b/>
          <w:bCs/>
        </w:rPr>
        <w:t>Net Termination Date</w:t>
      </w:r>
      <w:r w:rsidRPr="0041522F">
        <w:t>”</w:t>
      </w:r>
      <w:r w:rsidRPr="00692A4A">
        <w:t xml:space="preserve"> </w:t>
      </w:r>
      <w:r>
        <w:t>has the meaning given to that term in clause</w:t>
      </w:r>
      <w:r w:rsidR="005920F9">
        <w:t xml:space="preserve"> </w:t>
      </w:r>
      <w:r w:rsidR="005920F9">
        <w:fldChar w:fldCharType="begin" w:fldLock="1"/>
      </w:r>
      <w:r w:rsidR="005920F9">
        <w:instrText xml:space="preserve"> REF _Ref152142468 \r \h </w:instrText>
      </w:r>
      <w:r w:rsidR="005920F9">
        <w:fldChar w:fldCharType="separate"/>
      </w:r>
      <w:r w:rsidR="009646BC">
        <w:t>16.1</w:t>
      </w:r>
      <w:r w:rsidR="005920F9">
        <w:fldChar w:fldCharType="end"/>
      </w:r>
      <w:r>
        <w:t xml:space="preserve"> </w:t>
      </w:r>
      <w:r w:rsidR="005920F9">
        <w:t>(</w:t>
      </w:r>
      <w:r w:rsidR="005920F9">
        <w:rPr>
          <w:i/>
          <w:iCs/>
        </w:rPr>
        <w:t>Net Termination Date</w:t>
      </w:r>
      <w:r w:rsidR="005920F9">
        <w:t>)</w:t>
      </w:r>
      <w:r w:rsidR="00897FDD">
        <w:t>;</w:t>
      </w:r>
    </w:p>
    <w:p w14:paraId="2B0982A0" w14:textId="2BBD434B" w:rsidR="0081360A" w:rsidRPr="0081360A" w:rsidRDefault="0081360A" w:rsidP="0081360A">
      <w:pPr>
        <w:pStyle w:val="Level2"/>
        <w:numPr>
          <w:ilvl w:val="0"/>
          <w:numId w:val="0"/>
        </w:numPr>
        <w:ind w:left="680"/>
      </w:pPr>
      <w:r>
        <w:t>“</w:t>
      </w:r>
      <w:r>
        <w:rPr>
          <w:b/>
          <w:bCs/>
        </w:rPr>
        <w:t>Offsetting Conditions</w:t>
      </w:r>
      <w:r>
        <w:t xml:space="preserve">” has the meaning given to that term in clause </w:t>
      </w:r>
      <w:r>
        <w:fldChar w:fldCharType="begin" w:fldLock="1"/>
      </w:r>
      <w:r>
        <w:instrText xml:space="preserve"> REF _Ref134019520 \r \h </w:instrText>
      </w:r>
      <w:r>
        <w:fldChar w:fldCharType="separate"/>
      </w:r>
      <w:r w:rsidR="009646BC">
        <w:t>5.2</w:t>
      </w:r>
      <w:r>
        <w:fldChar w:fldCharType="end"/>
      </w:r>
      <w:r>
        <w:t xml:space="preserve"> (</w:t>
      </w:r>
      <w:r>
        <w:rPr>
          <w:i/>
          <w:iCs/>
        </w:rPr>
        <w:t>Acceptance of an Offsetting Transaction</w:t>
      </w:r>
      <w:r>
        <w:t xml:space="preserve">); </w:t>
      </w:r>
    </w:p>
    <w:p w14:paraId="75C3F52B" w14:textId="10D30724" w:rsidR="0081360A" w:rsidRPr="0081360A" w:rsidRDefault="0081360A" w:rsidP="0081360A">
      <w:pPr>
        <w:pStyle w:val="Level2"/>
        <w:numPr>
          <w:ilvl w:val="0"/>
          <w:numId w:val="0"/>
        </w:numPr>
        <w:ind w:left="680"/>
      </w:pPr>
      <w:r>
        <w:t>“</w:t>
      </w:r>
      <w:r>
        <w:rPr>
          <w:b/>
          <w:bCs/>
        </w:rPr>
        <w:t>Offsetting Transaction</w:t>
      </w:r>
      <w:r>
        <w:t xml:space="preserve">” has the meaning given to that term in clause </w:t>
      </w:r>
      <w:r>
        <w:fldChar w:fldCharType="begin" w:fldLock="1"/>
      </w:r>
      <w:r>
        <w:instrText xml:space="preserve"> REF _Ref134019421 \r \h </w:instrText>
      </w:r>
      <w:r>
        <w:fldChar w:fldCharType="separate"/>
      </w:r>
      <w:r w:rsidR="009646BC">
        <w:t>5.1</w:t>
      </w:r>
      <w:r>
        <w:fldChar w:fldCharType="end"/>
      </w:r>
      <w:r>
        <w:t xml:space="preserve"> (</w:t>
      </w:r>
      <w:r>
        <w:rPr>
          <w:i/>
          <w:iCs/>
        </w:rPr>
        <w:t>Offsetting trades</w:t>
      </w:r>
      <w:r>
        <w:t xml:space="preserve">); </w:t>
      </w:r>
    </w:p>
    <w:p w14:paraId="601AE134" w14:textId="18E92493" w:rsidR="00742772" w:rsidRDefault="008A5B1C" w:rsidP="004E00A3">
      <w:pPr>
        <w:pStyle w:val="Level2"/>
        <w:numPr>
          <w:ilvl w:val="0"/>
          <w:numId w:val="0"/>
        </w:numPr>
        <w:ind w:left="680"/>
      </w:pPr>
      <w:r>
        <w:t>“</w:t>
      </w:r>
      <w:r w:rsidR="00742772" w:rsidRPr="00742772">
        <w:rPr>
          <w:b/>
          <w:bCs/>
        </w:rPr>
        <w:t>Parties</w:t>
      </w:r>
      <w:r>
        <w:t>”</w:t>
      </w:r>
      <w:r w:rsidR="00742772" w:rsidRPr="00742772">
        <w:t xml:space="preserve"> means the Firm and the Client (and </w:t>
      </w:r>
      <w:r>
        <w:t>“</w:t>
      </w:r>
      <w:r w:rsidR="00742772" w:rsidRPr="00742772">
        <w:rPr>
          <w:b/>
          <w:bCs/>
        </w:rPr>
        <w:t>Party</w:t>
      </w:r>
      <w:r>
        <w:t>”</w:t>
      </w:r>
      <w:r w:rsidR="00742772" w:rsidRPr="00742772">
        <w:t xml:space="preserve"> means either of them);</w:t>
      </w:r>
    </w:p>
    <w:p w14:paraId="5C5BD7D3" w14:textId="3F304BCD" w:rsidR="00742772" w:rsidRDefault="008A5B1C" w:rsidP="00742772">
      <w:pPr>
        <w:pStyle w:val="Level2"/>
        <w:numPr>
          <w:ilvl w:val="0"/>
          <w:numId w:val="0"/>
        </w:numPr>
        <w:ind w:left="680"/>
      </w:pPr>
      <w:r>
        <w:t>“</w:t>
      </w:r>
      <w:r w:rsidR="00742772" w:rsidRPr="00742772">
        <w:rPr>
          <w:b/>
          <w:bCs/>
        </w:rPr>
        <w:t>Performance Criteria</w:t>
      </w:r>
      <w:r>
        <w:t>”</w:t>
      </w:r>
      <w:r w:rsidR="00742772">
        <w:t xml:space="preserve"> means:</w:t>
      </w:r>
    </w:p>
    <w:p w14:paraId="4A73954A" w14:textId="40391E23" w:rsidR="00742772" w:rsidRDefault="00742772" w:rsidP="001A6624">
      <w:pPr>
        <w:pStyle w:val="alpha2"/>
        <w:numPr>
          <w:ilvl w:val="1"/>
          <w:numId w:val="115"/>
        </w:numPr>
      </w:pPr>
      <w:r>
        <w:t>the Client's credit strength, including any guarantees given;</w:t>
      </w:r>
    </w:p>
    <w:p w14:paraId="4F331757" w14:textId="6A460898" w:rsidR="00742772" w:rsidRDefault="00742772" w:rsidP="001A6624">
      <w:pPr>
        <w:pStyle w:val="alpha2"/>
      </w:pPr>
      <w:r>
        <w:t>the Client's internal risk control systems;</w:t>
      </w:r>
    </w:p>
    <w:p w14:paraId="76134E2D" w14:textId="1BC48DEE" w:rsidR="00742772" w:rsidRDefault="00742772" w:rsidP="001A6624">
      <w:pPr>
        <w:pStyle w:val="alpha2"/>
      </w:pPr>
      <w:r>
        <w:t>the Client's intended trading strategy;</w:t>
      </w:r>
    </w:p>
    <w:p w14:paraId="5DAB11ED" w14:textId="5E85ADB7" w:rsidR="00742772" w:rsidRDefault="00742772" w:rsidP="001A6624">
      <w:pPr>
        <w:pStyle w:val="alpha2"/>
      </w:pPr>
      <w:r>
        <w:t>the Client's payment systems and arrangements that enable the Client to ensure a timely transfer of assets or cash as margin, as required by the Firm in relation to the Clearing Services the Firm provides;</w:t>
      </w:r>
    </w:p>
    <w:p w14:paraId="06DB9B6D" w14:textId="49661F8B" w:rsidR="00742772" w:rsidRDefault="00742772" w:rsidP="001A6624">
      <w:pPr>
        <w:pStyle w:val="alpha2"/>
      </w:pPr>
      <w:r>
        <w:t>the Client's systems settings and access to information that helps the Client to respect any maximum trading limit agreed with the Firm;</w:t>
      </w:r>
    </w:p>
    <w:p w14:paraId="31E64E69" w14:textId="79B3AC34" w:rsidR="00742772" w:rsidRDefault="00742772" w:rsidP="001A6624">
      <w:pPr>
        <w:pStyle w:val="alpha2"/>
      </w:pPr>
      <w:r>
        <w:lastRenderedPageBreak/>
        <w:t xml:space="preserve">any </w:t>
      </w:r>
      <w:r w:rsidR="000D6D9E">
        <w:t xml:space="preserve">margin </w:t>
      </w:r>
      <w:r>
        <w:t>provided to the Firm by the Client;</w:t>
      </w:r>
    </w:p>
    <w:p w14:paraId="6B5AD341" w14:textId="1F23EBEE" w:rsidR="00742772" w:rsidRDefault="00742772" w:rsidP="001A6624">
      <w:pPr>
        <w:pStyle w:val="alpha2"/>
      </w:pPr>
      <w:r>
        <w:t>the Client's operational resources, including technological interfaces and connectivity; and</w:t>
      </w:r>
    </w:p>
    <w:p w14:paraId="16675EE6" w14:textId="401ED8CF" w:rsidR="00742772" w:rsidRDefault="00742772" w:rsidP="001A6624">
      <w:pPr>
        <w:pStyle w:val="alpha2"/>
      </w:pPr>
      <w:r>
        <w:t>any involvement of the Client in a breach of the rules ensuring the integrity of the financial markets, including involvement in market abuse, financial crime or money laundering activities,</w:t>
      </w:r>
    </w:p>
    <w:p w14:paraId="56151CF4" w14:textId="0E25EEF2" w:rsidR="00742772" w:rsidRDefault="00742772" w:rsidP="00742772">
      <w:pPr>
        <w:pStyle w:val="Level2"/>
        <w:numPr>
          <w:ilvl w:val="0"/>
          <w:numId w:val="0"/>
        </w:numPr>
        <w:ind w:left="680"/>
      </w:pPr>
      <w:r>
        <w:t>as such list may be modified by the Firm by notice from time to time;</w:t>
      </w:r>
    </w:p>
    <w:p w14:paraId="2FA17B1C" w14:textId="59A4E154" w:rsidR="00897FDD" w:rsidRDefault="008A5B1C" w:rsidP="00060FDE">
      <w:pPr>
        <w:pStyle w:val="Level2"/>
        <w:numPr>
          <w:ilvl w:val="0"/>
          <w:numId w:val="0"/>
        </w:numPr>
        <w:ind w:left="680"/>
      </w:pPr>
      <w:r>
        <w:t>“</w:t>
      </w:r>
      <w:r w:rsidR="00897FDD">
        <w:rPr>
          <w:b/>
          <w:bCs/>
        </w:rPr>
        <w:t>Posted Margin</w:t>
      </w:r>
      <w:r w:rsidR="00897FDD">
        <w:t xml:space="preserve">” has the meaning given to that term in clause </w:t>
      </w:r>
      <w:r w:rsidR="00897FDD">
        <w:fldChar w:fldCharType="begin" w:fldLock="1"/>
      </w:r>
      <w:r w:rsidR="00897FDD">
        <w:instrText xml:space="preserve"> REF _Ref152007700 \r \h </w:instrText>
      </w:r>
      <w:r w:rsidR="00897FDD">
        <w:fldChar w:fldCharType="separate"/>
      </w:r>
      <w:r w:rsidR="009646BC">
        <w:t>7.5.2</w:t>
      </w:r>
      <w:r w:rsidR="00897FDD">
        <w:fldChar w:fldCharType="end"/>
      </w:r>
      <w:r w:rsidR="00897FDD">
        <w:t>;</w:t>
      </w:r>
    </w:p>
    <w:p w14:paraId="1A41A30E" w14:textId="6BB67651" w:rsidR="00B021B0" w:rsidRDefault="00060FDE" w:rsidP="00060FDE">
      <w:pPr>
        <w:pStyle w:val="Level2"/>
        <w:numPr>
          <w:ilvl w:val="0"/>
          <w:numId w:val="0"/>
        </w:numPr>
        <w:ind w:left="680"/>
      </w:pPr>
      <w:r>
        <w:t>“</w:t>
      </w:r>
      <w:r>
        <w:rPr>
          <w:b/>
          <w:bCs/>
        </w:rPr>
        <w:t>Principal Model Agreement</w:t>
      </w:r>
      <w:r>
        <w:t>” means an agreement entered into by a clearing member and a client for the provision of clearing services to the client whereby that clearing member and its client enter into a back-to-back transaction in respect of each transaction cleared by that clearing member through a CCP</w:t>
      </w:r>
      <w:r w:rsidR="00B021B0">
        <w:t xml:space="preserve">, including all associated agreements for the provision of </w:t>
      </w:r>
      <w:r w:rsidR="000D6D9E">
        <w:t xml:space="preserve">margin </w:t>
      </w:r>
      <w:r w:rsidR="00B021B0">
        <w:t>in respect of such agreement</w:t>
      </w:r>
      <w:r>
        <w:t>;</w:t>
      </w:r>
    </w:p>
    <w:p w14:paraId="3EC5A07A" w14:textId="3681029C" w:rsidR="00060FDE" w:rsidRDefault="00060FDE" w:rsidP="00060FDE">
      <w:pPr>
        <w:pStyle w:val="Level2"/>
        <w:numPr>
          <w:ilvl w:val="0"/>
          <w:numId w:val="0"/>
        </w:numPr>
        <w:ind w:left="680"/>
      </w:pPr>
      <w:r>
        <w:t>“</w:t>
      </w:r>
      <w:r>
        <w:rPr>
          <w:b/>
          <w:bCs/>
        </w:rPr>
        <w:t>Principal Model Conversion</w:t>
      </w:r>
      <w:r>
        <w:t xml:space="preserve">” has the meaning given to that term in clause </w:t>
      </w:r>
      <w:r>
        <w:fldChar w:fldCharType="begin" w:fldLock="1"/>
      </w:r>
      <w:r>
        <w:instrText xml:space="preserve"> REF _Ref133075494 \w \h </w:instrText>
      </w:r>
      <w:r>
        <w:fldChar w:fldCharType="separate"/>
      </w:r>
      <w:r w:rsidR="009646BC">
        <w:t>3.6.1(ii)</w:t>
      </w:r>
      <w:r>
        <w:fldChar w:fldCharType="end"/>
      </w:r>
      <w:r>
        <w:t xml:space="preserve"> (</w:t>
      </w:r>
      <w:r>
        <w:rPr>
          <w:i/>
          <w:iCs/>
        </w:rPr>
        <w:t>Conversion from Principal Model</w:t>
      </w:r>
      <w:r w:rsidR="00606DF2">
        <w:rPr>
          <w:i/>
          <w:iCs/>
        </w:rPr>
        <w:t xml:space="preserve"> Agreement</w:t>
      </w:r>
      <w:r>
        <w:t xml:space="preserve">); </w:t>
      </w:r>
    </w:p>
    <w:p w14:paraId="709D898F" w14:textId="72BB1C85" w:rsidR="00B5605E" w:rsidRPr="00B5605E" w:rsidRDefault="00B5605E" w:rsidP="00060FDE">
      <w:pPr>
        <w:pStyle w:val="Level2"/>
        <w:numPr>
          <w:ilvl w:val="0"/>
          <w:numId w:val="0"/>
        </w:numPr>
        <w:ind w:left="680"/>
      </w:pPr>
      <w:r>
        <w:t>“</w:t>
      </w:r>
      <w:r>
        <w:rPr>
          <w:b/>
          <w:bCs/>
        </w:rPr>
        <w:t>Principal Model Conversion Set</w:t>
      </w:r>
      <w:r>
        <w:t xml:space="preserve">” means </w:t>
      </w:r>
      <w:r w:rsidR="00BF2637">
        <w:t>all</w:t>
      </w:r>
      <w:r>
        <w:t xml:space="preserve"> </w:t>
      </w:r>
      <w:r w:rsidR="00BF2637">
        <w:t xml:space="preserve">Principal Model </w:t>
      </w:r>
      <w:r>
        <w:t>Firm/CCP Transactions that are cleared by the Firm at the same CCP service</w:t>
      </w:r>
      <w:r w:rsidR="009039CF">
        <w:t>;</w:t>
      </w:r>
      <w:r>
        <w:t xml:space="preserve"> </w:t>
      </w:r>
    </w:p>
    <w:p w14:paraId="22298E0E" w14:textId="758DD4A3" w:rsidR="00060FDE" w:rsidRDefault="00060FDE" w:rsidP="00060FDE">
      <w:pPr>
        <w:pStyle w:val="Level2"/>
        <w:numPr>
          <w:ilvl w:val="0"/>
          <w:numId w:val="0"/>
        </w:numPr>
        <w:ind w:left="680"/>
      </w:pPr>
      <w:r w:rsidRPr="001A6624">
        <w:t>“</w:t>
      </w:r>
      <w:r>
        <w:rPr>
          <w:b/>
          <w:bCs/>
        </w:rPr>
        <w:t>Principal Model Conversion Time</w:t>
      </w:r>
      <w:r>
        <w:t xml:space="preserve">” means the time </w:t>
      </w:r>
      <w:r w:rsidR="001C23FE">
        <w:t>and date agreed between the Parties on which a Principal Model Conversion will be effected</w:t>
      </w:r>
      <w:r>
        <w:t>;</w:t>
      </w:r>
    </w:p>
    <w:p w14:paraId="060D409A" w14:textId="5E3A27D0" w:rsidR="001C23FE" w:rsidRDefault="001C23FE" w:rsidP="007611DB">
      <w:pPr>
        <w:pStyle w:val="Level2"/>
        <w:numPr>
          <w:ilvl w:val="0"/>
          <w:numId w:val="0"/>
        </w:numPr>
        <w:ind w:left="680"/>
      </w:pPr>
      <w:r>
        <w:t>“</w:t>
      </w:r>
      <w:r>
        <w:rPr>
          <w:b/>
          <w:bCs/>
        </w:rPr>
        <w:t>Principal Model Conversion Transaction</w:t>
      </w:r>
      <w:r>
        <w:t xml:space="preserve">” has the meaning given to that term in clause </w:t>
      </w:r>
      <w:r>
        <w:fldChar w:fldCharType="begin" w:fldLock="1"/>
      </w:r>
      <w:r>
        <w:instrText xml:space="preserve"> REF _Ref134027945 \r \h </w:instrText>
      </w:r>
      <w:r>
        <w:fldChar w:fldCharType="separate"/>
      </w:r>
      <w:r w:rsidR="009646BC">
        <w:t>3.6.1(i)</w:t>
      </w:r>
      <w:r>
        <w:fldChar w:fldCharType="end"/>
      </w:r>
      <w:r>
        <w:t xml:space="preserve"> (</w:t>
      </w:r>
      <w:r>
        <w:rPr>
          <w:i/>
          <w:iCs/>
        </w:rPr>
        <w:t>Conversion from Principal Model Agreement</w:t>
      </w:r>
      <w:r>
        <w:t xml:space="preserve">); </w:t>
      </w:r>
    </w:p>
    <w:p w14:paraId="72144E88" w14:textId="67D26856" w:rsidR="00BF2637" w:rsidRDefault="00BF2637" w:rsidP="00094771">
      <w:pPr>
        <w:pStyle w:val="roman2"/>
        <w:numPr>
          <w:ilvl w:val="0"/>
          <w:numId w:val="0"/>
        </w:numPr>
        <w:ind w:left="680"/>
      </w:pPr>
      <w:r>
        <w:t>“</w:t>
      </w:r>
      <w:r>
        <w:rPr>
          <w:b/>
          <w:bCs/>
        </w:rPr>
        <w:t>Principal Model Firm/CCP Transaction</w:t>
      </w:r>
      <w:r>
        <w:t xml:space="preserve">” means a transaction between the Firm and a CCP cleared or to be cleared by the Firm on behalf of the Client pursuant to a Principal Model Agreement; </w:t>
      </w:r>
    </w:p>
    <w:p w14:paraId="2C76722E" w14:textId="04B94FCC" w:rsidR="00CE522C" w:rsidRDefault="00CE522C" w:rsidP="00CE522C">
      <w:pPr>
        <w:pStyle w:val="Level2"/>
        <w:numPr>
          <w:ilvl w:val="0"/>
          <w:numId w:val="0"/>
        </w:numPr>
        <w:ind w:left="680"/>
      </w:pPr>
      <w:r w:rsidRPr="00B021B0">
        <w:t>“</w:t>
      </w:r>
      <w:r w:rsidRPr="008163F1">
        <w:rPr>
          <w:b/>
          <w:bCs/>
        </w:rPr>
        <w:t xml:space="preserve">Principal Model </w:t>
      </w:r>
      <w:r>
        <w:rPr>
          <w:b/>
          <w:bCs/>
        </w:rPr>
        <w:t>Margin</w:t>
      </w:r>
      <w:r w:rsidRPr="00B021B0">
        <w:t xml:space="preserve">” means, in the context of a Principal Model Conversion, all </w:t>
      </w:r>
      <w:r>
        <w:t>margin</w:t>
      </w:r>
      <w:r w:rsidRPr="00B021B0">
        <w:t xml:space="preserve"> delivered between the Parties under a Principal Model Agreement relating to the Principal Model Conversion Transactions that has not yet been redelivered in accordance with its terms and, in the context of a</w:t>
      </w:r>
      <w:r w:rsidR="001E7A8B">
        <w:t>n</w:t>
      </w:r>
      <w:r w:rsidRPr="00B021B0">
        <w:t xml:space="preserve"> </w:t>
      </w:r>
      <w:r w:rsidR="00272180">
        <w:t>EATM</w:t>
      </w:r>
      <w:r w:rsidRPr="00B021B0">
        <w:t xml:space="preserve"> Conversion, </w:t>
      </w:r>
      <w:r>
        <w:t>margin</w:t>
      </w:r>
      <w:r w:rsidRPr="00B021B0">
        <w:t xml:space="preserve"> required to be delivered between the Parties under a Principal Model Agreement relating to the </w:t>
      </w:r>
      <w:r w:rsidR="00272180">
        <w:t>EATM</w:t>
      </w:r>
      <w:r w:rsidRPr="00B021B0">
        <w:t xml:space="preserve"> Conversion Transactions;</w:t>
      </w:r>
    </w:p>
    <w:p w14:paraId="6AC5A1D9" w14:textId="77777777" w:rsidR="00C30F11" w:rsidRDefault="00060FDE" w:rsidP="00060FDE">
      <w:pPr>
        <w:pStyle w:val="Level2"/>
        <w:numPr>
          <w:ilvl w:val="0"/>
          <w:numId w:val="0"/>
        </w:numPr>
        <w:ind w:left="680"/>
      </w:pPr>
      <w:r w:rsidRPr="004C0F61">
        <w:t>“</w:t>
      </w:r>
      <w:r>
        <w:rPr>
          <w:b/>
          <w:bCs/>
        </w:rPr>
        <w:t>Principal Model Transaction</w:t>
      </w:r>
      <w:r>
        <w:t xml:space="preserve">” </w:t>
      </w:r>
      <w:r w:rsidR="003C0F5E" w:rsidRPr="003C0F5E">
        <w:t>means any transaction entered into by the Firm with a CCP in relation to a clearing service provided pursuant to a Principal Model Agreement</w:t>
      </w:r>
      <w:r w:rsidR="001F07FD">
        <w:t>;</w:t>
      </w:r>
    </w:p>
    <w:p w14:paraId="37FBCCCF" w14:textId="1676EA9C" w:rsidR="00940DE1" w:rsidRPr="00940DE1" w:rsidRDefault="00940DE1" w:rsidP="003A5057">
      <w:pPr>
        <w:pStyle w:val="Level2"/>
        <w:numPr>
          <w:ilvl w:val="0"/>
          <w:numId w:val="0"/>
        </w:numPr>
        <w:ind w:left="680"/>
      </w:pPr>
      <w:r>
        <w:t>“</w:t>
      </w:r>
      <w:r>
        <w:rPr>
          <w:b/>
          <w:bCs/>
        </w:rPr>
        <w:t>Relevant Value</w:t>
      </w:r>
      <w:r>
        <w:t xml:space="preserve">” means the value of a Transaction </w:t>
      </w:r>
      <w:bookmarkStart w:id="154" w:name="_Hlk140082381"/>
      <w:r w:rsidR="009F6E30">
        <w:t xml:space="preserve">as of the time at which it was </w:t>
      </w:r>
      <w:r>
        <w:t>transferred to the proprietary account of the Firm following an Event of Default</w:t>
      </w:r>
      <w:bookmarkEnd w:id="154"/>
      <w:r>
        <w:t>, as determined by the Firm (acting in a commercially reasonable manner) and which may take into account</w:t>
      </w:r>
      <w:r w:rsidR="003A5057">
        <w:t xml:space="preserve"> </w:t>
      </w:r>
      <w:r>
        <w:t>any cost, loss or, as the case may be, gain of the Firm as a result of the transfer</w:t>
      </w:r>
      <w:r w:rsidR="00834766">
        <w:t xml:space="preserve"> </w:t>
      </w:r>
      <w:r>
        <w:t>of such Transaction to its proprietary account</w:t>
      </w:r>
      <w:r w:rsidR="00834766">
        <w:t xml:space="preserve"> and </w:t>
      </w:r>
      <w:r w:rsidR="008A20A8" w:rsidRPr="008A20A8">
        <w:t>which shall be positive if the value reflects a gain to the Firm and negative if the value reflects a Loss to the Firm</w:t>
      </w:r>
      <w:r>
        <w:t>;</w:t>
      </w:r>
    </w:p>
    <w:p w14:paraId="18785543" w14:textId="58110C99" w:rsidR="0022468E" w:rsidRPr="001A1F7D" w:rsidRDefault="008A5B1C" w:rsidP="00ED79BA">
      <w:pPr>
        <w:pStyle w:val="Level2"/>
        <w:numPr>
          <w:ilvl w:val="0"/>
          <w:numId w:val="0"/>
        </w:numPr>
        <w:ind w:left="680"/>
        <w:rPr>
          <w:highlight w:val="green"/>
        </w:rPr>
      </w:pPr>
      <w:r>
        <w:t>“</w:t>
      </w:r>
      <w:r w:rsidR="0022468E" w:rsidRPr="0022468E">
        <w:rPr>
          <w:b/>
          <w:bCs/>
        </w:rPr>
        <w:t>Risk Hedging Transaction</w:t>
      </w:r>
      <w:r>
        <w:t>”</w:t>
      </w:r>
      <w:r w:rsidR="0022468E" w:rsidRPr="0022468E">
        <w:t xml:space="preserve"> means, with respect to a Transaction or a portfolio of Transactions, a transaction (which transaction may be executed internally with </w:t>
      </w:r>
      <w:r w:rsidR="0022468E">
        <w:t>the Firm</w:t>
      </w:r>
      <w:r w:rsidR="0022468E" w:rsidRPr="0022468E">
        <w:t xml:space="preserve"> or </w:t>
      </w:r>
      <w:r w:rsidR="0022468E" w:rsidRPr="0022468E">
        <w:lastRenderedPageBreak/>
        <w:t xml:space="preserve">with an Affiliate of </w:t>
      </w:r>
      <w:r w:rsidR="0022468E">
        <w:t>the Firm</w:t>
      </w:r>
      <w:r w:rsidR="0022468E" w:rsidRPr="0022468E">
        <w:t xml:space="preserve"> or an unaffiliated third party), other than a Close-out Transaction, that is reasonably designed to hedge, mitigate or eliminate, in whole or in part, whether on an individual transaction or portfolio basis, the market risk associated with the relevant</w:t>
      </w:r>
      <w:r w:rsidR="0022468E">
        <w:t xml:space="preserve"> </w:t>
      </w:r>
      <w:r w:rsidR="0022468E" w:rsidRPr="0022468E">
        <w:t>Transactions, including a transaction that hedges, mitigates or eliminates such risk across Transactions related to more than one Cleared Transaction Set</w:t>
      </w:r>
      <w:r w:rsidR="0022468E">
        <w:t>;</w:t>
      </w:r>
    </w:p>
    <w:p w14:paraId="53D7E9B0" w14:textId="4F94D821" w:rsidR="006001F1" w:rsidRDefault="006001F1" w:rsidP="00742772">
      <w:pPr>
        <w:pStyle w:val="Level2"/>
        <w:numPr>
          <w:ilvl w:val="0"/>
          <w:numId w:val="0"/>
        </w:numPr>
        <w:ind w:left="680"/>
      </w:pPr>
      <w:r>
        <w:t>“</w:t>
      </w:r>
      <w:r>
        <w:rPr>
          <w:b/>
          <w:bCs/>
        </w:rPr>
        <w:t>Rule Set</w:t>
      </w:r>
      <w:r>
        <w:t xml:space="preserve">” means, </w:t>
      </w:r>
      <w:r w:rsidR="002C710F" w:rsidRPr="002C710F">
        <w:t>with respect to an Agreed CCP Service, the rules, conditions, and procedures, regulations, standard terms, membership agreements, collateral addenda, notices, guidance, policies or other such documents promulgated by the Agreed CCP in respect of the relevant Agreed CCP Service as amended and supplemented from time to time</w:t>
      </w:r>
      <w:r w:rsidR="002C710F">
        <w:t>;</w:t>
      </w:r>
    </w:p>
    <w:p w14:paraId="2A831E2E" w14:textId="3058C51A" w:rsidR="00742772" w:rsidRDefault="008A5B1C" w:rsidP="00742772">
      <w:pPr>
        <w:pStyle w:val="Level2"/>
        <w:numPr>
          <w:ilvl w:val="0"/>
          <w:numId w:val="0"/>
        </w:numPr>
        <w:ind w:left="680"/>
      </w:pPr>
      <w:r>
        <w:t>“</w:t>
      </w:r>
      <w:r w:rsidR="00742772" w:rsidRPr="00742772">
        <w:rPr>
          <w:b/>
          <w:bCs/>
        </w:rPr>
        <w:t>Rules</w:t>
      </w:r>
      <w:r>
        <w:t>”</w:t>
      </w:r>
      <w:r w:rsidR="00742772">
        <w:t xml:space="preserve"> means, with respect to an Infrastructure, the articles, rules, regulations, procedures, standard terms, membership agreements, collateral addenda, notices, guidance, policies or other such documents promulgated by the relevant Infrastructure in respect of such Infrastructure as amended and supplemented from time to time;</w:t>
      </w:r>
    </w:p>
    <w:p w14:paraId="54CA9480" w14:textId="0A8A4035" w:rsidR="0017322E" w:rsidRDefault="0017322E" w:rsidP="0017322E">
      <w:pPr>
        <w:pStyle w:val="Level2"/>
        <w:numPr>
          <w:ilvl w:val="0"/>
          <w:numId w:val="0"/>
        </w:numPr>
        <w:ind w:left="680"/>
      </w:pPr>
      <w:r>
        <w:t>“</w:t>
      </w:r>
      <w:r>
        <w:rPr>
          <w:b/>
          <w:bCs/>
        </w:rPr>
        <w:t>Segregated Account</w:t>
      </w:r>
      <w:r>
        <w:t xml:space="preserve">” </w:t>
      </w:r>
      <w:r w:rsidR="002671EF" w:rsidRPr="008664FA">
        <w:t xml:space="preserve">has the meaning given to that term in paragraph </w:t>
      </w:r>
      <w:r w:rsidR="005D36DE">
        <w:fldChar w:fldCharType="begin" w:fldLock="1"/>
      </w:r>
      <w:r w:rsidR="005D36DE">
        <w:instrText xml:space="preserve"> REF _Ref161349917 \r \h </w:instrText>
      </w:r>
      <w:r w:rsidR="005D36DE">
        <w:fldChar w:fldCharType="separate"/>
      </w:r>
      <w:r w:rsidR="009646BC">
        <w:t>9.1</w:t>
      </w:r>
      <w:r w:rsidR="005D36DE">
        <w:fldChar w:fldCharType="end"/>
      </w:r>
      <w:r w:rsidR="00D83434">
        <w:t xml:space="preserve"> (</w:t>
      </w:r>
      <w:r w:rsidR="00D83434">
        <w:rPr>
          <w:i/>
          <w:iCs/>
        </w:rPr>
        <w:t>Definitions</w:t>
      </w:r>
      <w:r w:rsidR="00D83434">
        <w:t>)</w:t>
      </w:r>
      <w:r w:rsidR="005D36DE">
        <w:t xml:space="preserve"> </w:t>
      </w:r>
      <w:r w:rsidR="002671EF" w:rsidRPr="008664FA">
        <w:t xml:space="preserve">of </w:t>
      </w:r>
      <w:r w:rsidR="007765A3">
        <w:t xml:space="preserve">the Segregated Asset Terms; </w:t>
      </w:r>
    </w:p>
    <w:p w14:paraId="474A1FBD" w14:textId="1C001243" w:rsidR="0017322E" w:rsidRDefault="0017322E" w:rsidP="0017322E">
      <w:pPr>
        <w:pStyle w:val="Level2"/>
        <w:numPr>
          <w:ilvl w:val="0"/>
          <w:numId w:val="0"/>
        </w:numPr>
        <w:ind w:left="680"/>
      </w:pPr>
      <w:r>
        <w:t>“</w:t>
      </w:r>
      <w:r>
        <w:rPr>
          <w:b/>
          <w:bCs/>
        </w:rPr>
        <w:t>Segregated Assets</w:t>
      </w:r>
      <w:r>
        <w:t xml:space="preserve">” </w:t>
      </w:r>
      <w:r w:rsidRPr="008664FA">
        <w:t xml:space="preserve">has the meaning given to that term in paragraph </w:t>
      </w:r>
      <w:r w:rsidR="005D36DE">
        <w:fldChar w:fldCharType="begin" w:fldLock="1"/>
      </w:r>
      <w:r w:rsidR="005D36DE">
        <w:instrText xml:space="preserve"> REF _Ref161349917 \r \h </w:instrText>
      </w:r>
      <w:r w:rsidR="005D36DE">
        <w:fldChar w:fldCharType="separate"/>
      </w:r>
      <w:r w:rsidR="009646BC">
        <w:t>9.1</w:t>
      </w:r>
      <w:r w:rsidR="005D36DE">
        <w:fldChar w:fldCharType="end"/>
      </w:r>
      <w:r w:rsidR="005D36DE">
        <w:t xml:space="preserve"> </w:t>
      </w:r>
      <w:r w:rsidR="00D83434">
        <w:t>(</w:t>
      </w:r>
      <w:r w:rsidR="00D83434">
        <w:rPr>
          <w:i/>
          <w:iCs/>
        </w:rPr>
        <w:t>Definitions</w:t>
      </w:r>
      <w:r w:rsidR="00D83434">
        <w:t xml:space="preserve">) </w:t>
      </w:r>
      <w:r w:rsidRPr="008664FA">
        <w:t xml:space="preserve">of </w:t>
      </w:r>
      <w:r w:rsidR="00BF2C43">
        <w:t>the Segregated Asset Terms</w:t>
      </w:r>
      <w:r>
        <w:t xml:space="preserve">; </w:t>
      </w:r>
    </w:p>
    <w:p w14:paraId="6D9AFB47" w14:textId="4978F2BC" w:rsidR="00F43C87" w:rsidRDefault="00F43C87" w:rsidP="00F43C87">
      <w:pPr>
        <w:pStyle w:val="Level2"/>
        <w:numPr>
          <w:ilvl w:val="0"/>
          <w:numId w:val="0"/>
        </w:numPr>
        <w:ind w:left="680"/>
      </w:pPr>
      <w:r>
        <w:t>“</w:t>
      </w:r>
      <w:r>
        <w:rPr>
          <w:b/>
          <w:bCs/>
        </w:rPr>
        <w:t>Segregated Assets Arrangement</w:t>
      </w:r>
      <w:r w:rsidRPr="004C0F61">
        <w:t>”</w:t>
      </w:r>
      <w:r>
        <w:t xml:space="preserve"> </w:t>
      </w:r>
      <w:r w:rsidRPr="000275E9">
        <w:t xml:space="preserve">has the meaning given to that term in paragraph </w:t>
      </w:r>
      <w:r w:rsidR="005D36DE">
        <w:fldChar w:fldCharType="begin" w:fldLock="1"/>
      </w:r>
      <w:r w:rsidR="005D36DE">
        <w:instrText xml:space="preserve"> REF _Ref161349917 \r \h </w:instrText>
      </w:r>
      <w:r w:rsidR="005D36DE">
        <w:fldChar w:fldCharType="separate"/>
      </w:r>
      <w:r w:rsidR="009646BC">
        <w:t>9.1</w:t>
      </w:r>
      <w:r w:rsidR="005D36DE">
        <w:fldChar w:fldCharType="end"/>
      </w:r>
      <w:r>
        <w:t xml:space="preserve"> </w:t>
      </w:r>
      <w:r w:rsidR="00D83434">
        <w:t>(</w:t>
      </w:r>
      <w:r w:rsidR="00D83434">
        <w:rPr>
          <w:i/>
          <w:iCs/>
        </w:rPr>
        <w:t>Definitions</w:t>
      </w:r>
      <w:r w:rsidR="00D83434">
        <w:t xml:space="preserve">) </w:t>
      </w:r>
      <w:r>
        <w:t xml:space="preserve">of </w:t>
      </w:r>
      <w:r w:rsidR="00BF2C43">
        <w:t>the Segregated Asset Terms</w:t>
      </w:r>
      <w:r>
        <w:t xml:space="preserve">; </w:t>
      </w:r>
    </w:p>
    <w:p w14:paraId="01B0804A" w14:textId="1AEFE432" w:rsidR="0017322E" w:rsidRDefault="0017322E" w:rsidP="0017322E">
      <w:pPr>
        <w:pStyle w:val="Level2"/>
        <w:numPr>
          <w:ilvl w:val="0"/>
          <w:numId w:val="0"/>
        </w:numPr>
        <w:ind w:left="680"/>
      </w:pPr>
      <w:r>
        <w:t>“</w:t>
      </w:r>
      <w:r>
        <w:rPr>
          <w:b/>
          <w:bCs/>
        </w:rPr>
        <w:t>Segregated Assets Arrangement Liability</w:t>
      </w:r>
      <w:r>
        <w:t>” has the meaning given to that term in paragraph</w:t>
      </w:r>
      <w:r w:rsidR="001F1056">
        <w:t xml:space="preserve"> </w:t>
      </w:r>
      <w:r w:rsidR="001F1056">
        <w:fldChar w:fldCharType="begin" w:fldLock="1"/>
      </w:r>
      <w:r w:rsidR="001F1056">
        <w:instrText xml:space="preserve"> REF _Ref161350975 \r \h </w:instrText>
      </w:r>
      <w:r w:rsidR="001F1056">
        <w:fldChar w:fldCharType="separate"/>
      </w:r>
      <w:r w:rsidR="009646BC">
        <w:t>5.1</w:t>
      </w:r>
      <w:r w:rsidR="001F1056">
        <w:fldChar w:fldCharType="end"/>
      </w:r>
      <w:r w:rsidR="001F1056">
        <w:t xml:space="preserve"> </w:t>
      </w:r>
      <w:r>
        <w:t>(</w:t>
      </w:r>
      <w:r>
        <w:rPr>
          <w:i/>
          <w:iCs/>
        </w:rPr>
        <w:t>Indemnity</w:t>
      </w:r>
      <w:r>
        <w:t xml:space="preserve">) of </w:t>
      </w:r>
      <w:r w:rsidR="00BF2C43">
        <w:t>the Segregated Asset Terms</w:t>
      </w:r>
      <w:r>
        <w:t>;</w:t>
      </w:r>
    </w:p>
    <w:p w14:paraId="6B363633" w14:textId="3ECCB4BB" w:rsidR="0017322E" w:rsidRDefault="0017322E" w:rsidP="0017322E">
      <w:pPr>
        <w:pStyle w:val="Level2"/>
        <w:numPr>
          <w:ilvl w:val="0"/>
          <w:numId w:val="0"/>
        </w:numPr>
        <w:ind w:left="680"/>
      </w:pPr>
      <w:r w:rsidRPr="001A6624">
        <w:t>“</w:t>
      </w:r>
      <w:r>
        <w:rPr>
          <w:b/>
          <w:bCs/>
        </w:rPr>
        <w:t>Segregated Asset Terms</w:t>
      </w:r>
      <w:r w:rsidRPr="001A6624">
        <w:t>”</w:t>
      </w:r>
      <w:r>
        <w:rPr>
          <w:b/>
          <w:bCs/>
        </w:rPr>
        <w:t xml:space="preserve"> </w:t>
      </w:r>
      <w:r>
        <w:t xml:space="preserve">means the terms </w:t>
      </w:r>
      <w:r w:rsidR="00215D1F">
        <w:t>identified as</w:t>
      </w:r>
      <w:r w:rsidR="007A24A1">
        <w:t xml:space="preserve"> the</w:t>
      </w:r>
      <w:r w:rsidR="00215D1F">
        <w:t xml:space="preserve"> </w:t>
      </w:r>
      <w:r w:rsidR="00CF61DB">
        <w:t>“</w:t>
      </w:r>
      <w:r w:rsidR="00272180">
        <w:t>EATM</w:t>
      </w:r>
      <w:r w:rsidR="00CF61DB">
        <w:t xml:space="preserve"> Segregated Asset Terms”</w:t>
      </w:r>
      <w:r w:rsidR="0053100D">
        <w:t xml:space="preserve"> </w:t>
      </w:r>
      <w:r w:rsidR="004E6AD2">
        <w:t>(as amended from time to time</w:t>
      </w:r>
      <w:r w:rsidR="00E035F2">
        <w:t xml:space="preserve"> in accordance with its terms</w:t>
      </w:r>
      <w:r w:rsidR="004E6AD2">
        <w:t>) under</w:t>
      </w:r>
      <w:r w:rsidR="0053100D">
        <w:t xml:space="preserve"> </w:t>
      </w:r>
      <w:r w:rsidR="0053100D" w:rsidRPr="0053100D">
        <w:t xml:space="preserve">which the Firm will hold certain assets for the benefit of the Client and all other </w:t>
      </w:r>
      <w:r w:rsidR="00272180">
        <w:t>EATM</w:t>
      </w:r>
      <w:r w:rsidR="000376B0">
        <w:t xml:space="preserve"> </w:t>
      </w:r>
      <w:r w:rsidR="00595B69">
        <w:t>Beneficiaries</w:t>
      </w:r>
      <w:r w:rsidR="00E21924">
        <w:t>, t</w:t>
      </w:r>
      <w:r w:rsidR="00A16009">
        <w:t>he version as of the date of this Client Clearing Agreement</w:t>
      </w:r>
      <w:r w:rsidR="00CF61DB">
        <w:t xml:space="preserve"> </w:t>
      </w:r>
      <w:r w:rsidR="00E21924">
        <w:t xml:space="preserve">of which </w:t>
      </w:r>
      <w:r w:rsidR="00A16009">
        <w:t xml:space="preserve">is </w:t>
      </w:r>
      <w:r w:rsidR="00364ABE">
        <w:t>appended to this Client Clearing Agreement as</w:t>
      </w:r>
      <w:r>
        <w:t xml:space="preserve"> Schedule 1 (</w:t>
      </w:r>
      <w:r>
        <w:rPr>
          <w:i/>
          <w:iCs/>
        </w:rPr>
        <w:t>Segregated Asset Terms</w:t>
      </w:r>
      <w:r>
        <w:t xml:space="preserve">); </w:t>
      </w:r>
    </w:p>
    <w:p w14:paraId="4FCAADAE" w14:textId="51B6907C" w:rsidR="00D379F4" w:rsidRDefault="00D379F4" w:rsidP="00ED79BA">
      <w:pPr>
        <w:pStyle w:val="Level2"/>
        <w:numPr>
          <w:ilvl w:val="0"/>
          <w:numId w:val="0"/>
        </w:numPr>
        <w:ind w:left="680"/>
      </w:pPr>
      <w:r>
        <w:t>“</w:t>
      </w:r>
      <w:r>
        <w:rPr>
          <w:b/>
          <w:bCs/>
        </w:rPr>
        <w:t>Services</w:t>
      </w:r>
      <w:r>
        <w:t xml:space="preserve">” has the meaning given to that term in clause </w:t>
      </w:r>
      <w:r>
        <w:fldChar w:fldCharType="begin" w:fldLock="1"/>
      </w:r>
      <w:r>
        <w:instrText xml:space="preserve"> REF _Ref133417778 \w \h </w:instrText>
      </w:r>
      <w:r>
        <w:fldChar w:fldCharType="separate"/>
      </w:r>
      <w:r w:rsidR="009646BC">
        <w:t>2.1</w:t>
      </w:r>
      <w:r>
        <w:fldChar w:fldCharType="end"/>
      </w:r>
      <w:r>
        <w:t xml:space="preserve"> (</w:t>
      </w:r>
      <w:r>
        <w:rPr>
          <w:i/>
          <w:iCs/>
        </w:rPr>
        <w:t>General</w:t>
      </w:r>
      <w:r>
        <w:t>);</w:t>
      </w:r>
    </w:p>
    <w:p w14:paraId="78ED6A6A" w14:textId="042700A7" w:rsidR="00494A86" w:rsidRPr="00494A86" w:rsidRDefault="00E05F9F" w:rsidP="00E05F9F">
      <w:pPr>
        <w:pStyle w:val="Level2"/>
        <w:numPr>
          <w:ilvl w:val="0"/>
          <w:numId w:val="0"/>
        </w:numPr>
        <w:ind w:left="680"/>
      </w:pPr>
      <w:r w:rsidRPr="00E05F9F">
        <w:t>“</w:t>
      </w:r>
      <w:r w:rsidRPr="0097449A">
        <w:rPr>
          <w:b/>
          <w:bCs/>
        </w:rPr>
        <w:t>Settled Asset</w:t>
      </w:r>
      <w:r w:rsidR="00E02002">
        <w:rPr>
          <w:b/>
          <w:bCs/>
        </w:rPr>
        <w:t>s</w:t>
      </w:r>
      <w:r w:rsidRPr="00E05F9F">
        <w:t xml:space="preserve">” </w:t>
      </w:r>
      <w:r w:rsidR="00E02002" w:rsidRPr="000275E9">
        <w:t xml:space="preserve">has the meaning given to that term in paragraph </w:t>
      </w:r>
      <w:r w:rsidR="00E02002">
        <w:fldChar w:fldCharType="begin" w:fldLock="1"/>
      </w:r>
      <w:r w:rsidR="00E02002">
        <w:instrText xml:space="preserve"> REF _Ref161349917 \r \h </w:instrText>
      </w:r>
      <w:r w:rsidR="00E02002">
        <w:fldChar w:fldCharType="separate"/>
      </w:r>
      <w:r w:rsidR="009646BC">
        <w:t>9.1</w:t>
      </w:r>
      <w:r w:rsidR="00E02002">
        <w:fldChar w:fldCharType="end"/>
      </w:r>
      <w:r w:rsidR="00D83434">
        <w:t xml:space="preserve"> (</w:t>
      </w:r>
      <w:r w:rsidR="00D83434">
        <w:rPr>
          <w:i/>
          <w:iCs/>
        </w:rPr>
        <w:t>Definitions</w:t>
      </w:r>
      <w:r w:rsidR="00D83434">
        <w:t>)</w:t>
      </w:r>
      <w:r w:rsidR="00E02002">
        <w:t xml:space="preserve"> of the Segregated Asset Terms;</w:t>
      </w:r>
    </w:p>
    <w:p w14:paraId="7BEF1967" w14:textId="55629A90" w:rsidR="00D17C2A" w:rsidRPr="00D17C2A" w:rsidRDefault="00D17C2A" w:rsidP="00ED79BA">
      <w:pPr>
        <w:pStyle w:val="Level2"/>
        <w:numPr>
          <w:ilvl w:val="0"/>
          <w:numId w:val="0"/>
        </w:numPr>
        <w:ind w:left="680"/>
      </w:pPr>
      <w:r>
        <w:t>“</w:t>
      </w:r>
      <w:r>
        <w:rPr>
          <w:b/>
          <w:bCs/>
        </w:rPr>
        <w:t>Shortfall</w:t>
      </w:r>
      <w:r w:rsidR="00940DE1">
        <w:rPr>
          <w:b/>
          <w:bCs/>
        </w:rPr>
        <w:t xml:space="preserve"> Amount</w:t>
      </w:r>
      <w:r>
        <w:t xml:space="preserve">” </w:t>
      </w:r>
      <w:r w:rsidR="00C16C32" w:rsidRPr="00C16C32">
        <w:t>means an amount that is calculated</w:t>
      </w:r>
      <w:r w:rsidR="00C76EB6">
        <w:t>, from time to time,</w:t>
      </w:r>
      <w:r w:rsidR="00C16C32" w:rsidRPr="00C16C32">
        <w:t xml:space="preserve"> as due from the Client to the Firm following the occurrence of an Event of Default, a Firm Trigger Event or a CCP Default, </w:t>
      </w:r>
      <w:r w:rsidR="00FC3CAD">
        <w:t>equal to: (i)</w:t>
      </w:r>
      <w:r w:rsidR="00FC3CAD" w:rsidRPr="00C16C32">
        <w:t xml:space="preserve"> </w:t>
      </w:r>
      <w:r w:rsidR="00A23550">
        <w:t>any</w:t>
      </w:r>
      <w:r w:rsidR="00C16C32" w:rsidRPr="00C16C32">
        <w:t xml:space="preserve"> payment or deliver</w:t>
      </w:r>
      <w:r w:rsidR="00A23550">
        <w:t xml:space="preserve">y </w:t>
      </w:r>
      <w:r w:rsidR="00C16C32" w:rsidRPr="00C16C32">
        <w:t>due from the Firm to an Agreed CCP Service in respect of a Transacti</w:t>
      </w:r>
      <w:r w:rsidR="00A23550">
        <w:t>on;</w:t>
      </w:r>
      <w:r w:rsidR="00505766">
        <w:t xml:space="preserve"> or</w:t>
      </w:r>
      <w:r w:rsidR="00A23550">
        <w:t xml:space="preserve"> (ii)</w:t>
      </w:r>
      <w:r w:rsidR="00C16C32" w:rsidRPr="00C16C32">
        <w:t xml:space="preserve"> any amount that is calculated as due in accordance with clause</w:t>
      </w:r>
      <w:r w:rsidR="00F72006">
        <w:t xml:space="preserve"> </w:t>
      </w:r>
      <w:r w:rsidR="00F72006">
        <w:fldChar w:fldCharType="begin" w:fldLock="1"/>
      </w:r>
      <w:r w:rsidR="00F72006">
        <w:instrText xml:space="preserve"> REF _Ref151491400 \r \h </w:instrText>
      </w:r>
      <w:r w:rsidR="00F72006">
        <w:fldChar w:fldCharType="separate"/>
      </w:r>
      <w:r w:rsidR="009646BC">
        <w:t>11.2.4</w:t>
      </w:r>
      <w:r w:rsidR="00F72006">
        <w:fldChar w:fldCharType="end"/>
      </w:r>
      <w:r w:rsidR="00F72006">
        <w:t xml:space="preserve"> </w:t>
      </w:r>
      <w:r w:rsidR="00E108B8">
        <w:t>or</w:t>
      </w:r>
      <w:r w:rsidR="00D76CFB">
        <w:t xml:space="preserve"> </w:t>
      </w:r>
      <w:r w:rsidR="00D76CFB">
        <w:fldChar w:fldCharType="begin" w:fldLock="1"/>
      </w:r>
      <w:r w:rsidR="00D76CFB">
        <w:instrText xml:space="preserve"> REF _Ref152084938 \r \h </w:instrText>
      </w:r>
      <w:r w:rsidR="00D76CFB">
        <w:fldChar w:fldCharType="separate"/>
      </w:r>
      <w:r w:rsidR="009646BC">
        <w:t>11.2.5</w:t>
      </w:r>
      <w:r w:rsidR="00D76CFB">
        <w:fldChar w:fldCharType="end"/>
      </w:r>
      <w:r w:rsidR="00A23550">
        <w:t>, in each case</w:t>
      </w:r>
      <w:r w:rsidR="00366AAF">
        <w:t>,</w:t>
      </w:r>
      <w:r w:rsidR="00A23550">
        <w:t xml:space="preserve"> </w:t>
      </w:r>
      <w:r w:rsidR="00D223C4">
        <w:t>and without double counting</w:t>
      </w:r>
      <w:r w:rsidR="00366AAF">
        <w:t>,</w:t>
      </w:r>
      <w:r w:rsidR="00D223C4">
        <w:t xml:space="preserve"> plus</w:t>
      </w:r>
      <w:r w:rsidR="00F72006">
        <w:t xml:space="preserve"> any </w:t>
      </w:r>
      <w:r w:rsidR="00D223C4">
        <w:t xml:space="preserve">outstanding </w:t>
      </w:r>
      <w:r w:rsidR="00F72006">
        <w:t xml:space="preserve">fees, costs or other amounts </w:t>
      </w:r>
      <w:r w:rsidR="00D223C4">
        <w:t>owed by</w:t>
      </w:r>
      <w:r w:rsidR="00F72006">
        <w:t xml:space="preserve"> the Client to the Firm</w:t>
      </w:r>
      <w:r w:rsidR="00D223C4">
        <w:t xml:space="preserve"> under th</w:t>
      </w:r>
      <w:r w:rsidR="00CA4974">
        <w:t>is Client Clearing</w:t>
      </w:r>
      <w:r w:rsidR="00D223C4">
        <w:t xml:space="preserve"> Agreement;</w:t>
      </w:r>
    </w:p>
    <w:p w14:paraId="5305A644" w14:textId="4EC64CAF" w:rsidR="0081360A" w:rsidRDefault="0081360A" w:rsidP="00ED79BA">
      <w:pPr>
        <w:pStyle w:val="Level2"/>
        <w:numPr>
          <w:ilvl w:val="0"/>
          <w:numId w:val="0"/>
        </w:numPr>
        <w:ind w:left="680"/>
      </w:pPr>
      <w:r>
        <w:t>“</w:t>
      </w:r>
      <w:r>
        <w:rPr>
          <w:b/>
          <w:bCs/>
        </w:rPr>
        <w:t>Specified Transaction</w:t>
      </w:r>
      <w:r>
        <w:t xml:space="preserve">” has the meaning given to that term in clause </w:t>
      </w:r>
      <w:r>
        <w:fldChar w:fldCharType="begin" w:fldLock="1"/>
      </w:r>
      <w:r>
        <w:instrText xml:space="preserve"> REF _Ref134019421 \r \h </w:instrText>
      </w:r>
      <w:r>
        <w:fldChar w:fldCharType="separate"/>
      </w:r>
      <w:r w:rsidR="009646BC">
        <w:t>5.1</w:t>
      </w:r>
      <w:r>
        <w:fldChar w:fldCharType="end"/>
      </w:r>
      <w:r>
        <w:t xml:space="preserve"> (</w:t>
      </w:r>
      <w:r>
        <w:rPr>
          <w:i/>
          <w:iCs/>
        </w:rPr>
        <w:t>Offsetting trades</w:t>
      </w:r>
      <w:r>
        <w:t xml:space="preserve">); </w:t>
      </w:r>
    </w:p>
    <w:p w14:paraId="69C73C26" w14:textId="5949CDB2" w:rsidR="001A6624" w:rsidRPr="00007E5A" w:rsidRDefault="001A6624" w:rsidP="007B6945">
      <w:pPr>
        <w:pStyle w:val="Level2"/>
        <w:numPr>
          <w:ilvl w:val="0"/>
          <w:numId w:val="0"/>
        </w:numPr>
        <w:ind w:left="680"/>
      </w:pPr>
      <w:r>
        <w:t>“</w:t>
      </w:r>
      <w:r>
        <w:rPr>
          <w:b/>
          <w:bCs/>
        </w:rPr>
        <w:t>Title Transfer Assets</w:t>
      </w:r>
      <w:r>
        <w:t>” means:</w:t>
      </w:r>
      <w:r w:rsidR="007B6945">
        <w:t xml:space="preserve"> (a)</w:t>
      </w:r>
      <w:r w:rsidR="00E31B79" w:rsidRPr="00E31B79">
        <w:t xml:space="preserve"> </w:t>
      </w:r>
      <w:r w:rsidRPr="00747693">
        <w:t xml:space="preserve">any </w:t>
      </w:r>
      <w:r w:rsidR="001505AF">
        <w:t>Settled Assets that are received, or Deemed Settled Assets that are deemed</w:t>
      </w:r>
      <w:r w:rsidR="008A4F4F">
        <w:t xml:space="preserve"> received</w:t>
      </w:r>
      <w:r w:rsidR="001505AF">
        <w:t>,</w:t>
      </w:r>
      <w:r w:rsidR="008A4F4F">
        <w:t xml:space="preserve"> </w:t>
      </w:r>
      <w:r w:rsidR="00592EFF">
        <w:t xml:space="preserve">by the Firm </w:t>
      </w:r>
      <w:r w:rsidR="008A4F4F">
        <w:t>in respect of the Client</w:t>
      </w:r>
      <w:r w:rsidRPr="00747693">
        <w:t xml:space="preserve">; and </w:t>
      </w:r>
      <w:r w:rsidR="007B6945" w:rsidRPr="00747693">
        <w:t xml:space="preserve">(b) </w:t>
      </w:r>
      <w:r w:rsidRPr="00747693">
        <w:t xml:space="preserve">any payments </w:t>
      </w:r>
      <w:r w:rsidRPr="00747693">
        <w:lastRenderedPageBreak/>
        <w:t>or d</w:t>
      </w:r>
      <w:r w:rsidRPr="00E05F9F">
        <w:t>eliveries made by the Client to the Firm</w:t>
      </w:r>
      <w:r w:rsidR="007B6945">
        <w:t>,</w:t>
      </w:r>
      <w:r w:rsidRPr="00E05F9F">
        <w:t xml:space="preserve"> in each case that have been transferred to the Firm by way of title transfer</w:t>
      </w:r>
      <w:r w:rsidR="007D7725">
        <w:t>;</w:t>
      </w:r>
    </w:p>
    <w:p w14:paraId="1ED5EB58" w14:textId="4799DD2B" w:rsidR="00C951F8" w:rsidRDefault="00C951F8" w:rsidP="00C951F8">
      <w:pPr>
        <w:pStyle w:val="Level2"/>
        <w:numPr>
          <w:ilvl w:val="0"/>
          <w:numId w:val="0"/>
        </w:numPr>
        <w:ind w:left="680"/>
      </w:pPr>
      <w:r w:rsidRPr="001A6624">
        <w:t>“</w:t>
      </w:r>
      <w:r>
        <w:rPr>
          <w:b/>
          <w:bCs/>
        </w:rPr>
        <w:t>Title Transfer Balance</w:t>
      </w:r>
      <w:r>
        <w:t xml:space="preserve">” </w:t>
      </w:r>
      <w:r w:rsidR="00B3206C" w:rsidRPr="00B3206C">
        <w:t>means all Title Transfer Assets</w:t>
      </w:r>
      <w:r w:rsidR="009965D3">
        <w:t xml:space="preserve"> (</w:t>
      </w:r>
      <w:r w:rsidR="0066776D">
        <w:t xml:space="preserve">including </w:t>
      </w:r>
      <w:r w:rsidR="00216FD9" w:rsidRPr="00216FD9">
        <w:t>any Title Transfer Assets that have been redenominated, converted, redeemed or otherwise modified</w:t>
      </w:r>
      <w:r w:rsidR="009965D3">
        <w:t>)</w:t>
      </w:r>
      <w:r w:rsidR="00B3206C" w:rsidRPr="00B3206C">
        <w:t>, which shall be reduced</w:t>
      </w:r>
      <w:r w:rsidR="00BF2A88">
        <w:t xml:space="preserve"> (including to a negative balance)</w:t>
      </w:r>
      <w:r w:rsidR="00B3206C" w:rsidRPr="00B3206C">
        <w:t xml:space="preserve"> by those Title Transfer Assets or Equivalent </w:t>
      </w:r>
      <w:r w:rsidR="00746B1C" w:rsidRPr="00746B1C">
        <w:t xml:space="preserve">Title Transfer Assets </w:t>
      </w:r>
      <w:r w:rsidR="00B3206C" w:rsidRPr="00B3206C">
        <w:t>in respect of those Title Transfer Assets that have been</w:t>
      </w:r>
      <w:r w:rsidR="002419B8">
        <w:t>:</w:t>
      </w:r>
      <w:r w:rsidR="00B3206C" w:rsidRPr="00B3206C">
        <w:t xml:space="preserve"> (a) transferred to the Client or an Agreed CCP Service in respect of the Client</w:t>
      </w:r>
      <w:r w:rsidR="002419B8">
        <w:t>;</w:t>
      </w:r>
      <w:r w:rsidR="00B3206C" w:rsidRPr="00B3206C">
        <w:t xml:space="preserve"> or (b) applied against, and in satisfaction of, any liabilities</w:t>
      </w:r>
      <w:r w:rsidR="00224C10">
        <w:t xml:space="preserve"> (other than liabilities arising in respect of margin calls)</w:t>
      </w:r>
      <w:r w:rsidR="00B3206C" w:rsidRPr="00B3206C">
        <w:t xml:space="preserve"> due from the Client to the Firm in accordance with th</w:t>
      </w:r>
      <w:r w:rsidR="00E70C4B">
        <w:t>e</w:t>
      </w:r>
      <w:r w:rsidR="00B3206C" w:rsidRPr="00B3206C">
        <w:t xml:space="preserve"> </w:t>
      </w:r>
      <w:r w:rsidR="00CA4974">
        <w:t xml:space="preserve">Client Clearing </w:t>
      </w:r>
      <w:r w:rsidR="00B3206C" w:rsidRPr="00B3206C">
        <w:t xml:space="preserve">Agreement (avoiding double counting in respect of </w:t>
      </w:r>
      <w:r w:rsidR="00B3206C">
        <w:t>c</w:t>
      </w:r>
      <w:r w:rsidR="00B3206C" w:rsidRPr="00B3206C">
        <w:t>lause</w:t>
      </w:r>
      <w:r w:rsidR="00FA22ED">
        <w:t>s</w:t>
      </w:r>
      <w:r w:rsidR="00B3206C" w:rsidRPr="00B3206C">
        <w:t xml:space="preserve"> </w:t>
      </w:r>
      <w:r w:rsidR="00B3206C">
        <w:fldChar w:fldCharType="begin" w:fldLock="1"/>
      </w:r>
      <w:r w:rsidR="00B3206C">
        <w:instrText xml:space="preserve"> REF _Ref151712019 \r \h </w:instrText>
      </w:r>
      <w:r w:rsidR="00B3206C">
        <w:fldChar w:fldCharType="separate"/>
      </w:r>
      <w:r w:rsidR="009646BC">
        <w:t>6.1</w:t>
      </w:r>
      <w:r w:rsidR="00B3206C">
        <w:fldChar w:fldCharType="end"/>
      </w:r>
      <w:r w:rsidR="00B3206C">
        <w:t xml:space="preserve"> </w:t>
      </w:r>
      <w:r w:rsidR="00B3206C" w:rsidRPr="00B3206C">
        <w:t>(</w:t>
      </w:r>
      <w:r w:rsidR="00B3206C" w:rsidRPr="00A034BD">
        <w:rPr>
          <w:i/>
          <w:iCs/>
        </w:rPr>
        <w:t>Performance</w:t>
      </w:r>
      <w:r w:rsidR="00FA22ED">
        <w:rPr>
          <w:i/>
          <w:iCs/>
        </w:rPr>
        <w:t xml:space="preserve"> and</w:t>
      </w:r>
      <w:r w:rsidR="00B3206C" w:rsidRPr="00A034BD">
        <w:rPr>
          <w:i/>
          <w:iCs/>
        </w:rPr>
        <w:t xml:space="preserve"> settlement</w:t>
      </w:r>
      <w:r w:rsidR="00B3206C" w:rsidRPr="00B3206C">
        <w:t>)</w:t>
      </w:r>
      <w:r w:rsidR="00FA22ED">
        <w:t xml:space="preserve"> and</w:t>
      </w:r>
      <w:r w:rsidR="00224C10">
        <w:t xml:space="preserve"> clause</w:t>
      </w:r>
      <w:r w:rsidR="009434E4">
        <w:t xml:space="preserve"> </w:t>
      </w:r>
      <w:r w:rsidR="00A535D1">
        <w:fldChar w:fldCharType="begin" w:fldLock="1"/>
      </w:r>
      <w:r w:rsidR="00A535D1">
        <w:instrText xml:space="preserve"> REF _Ref192019204 \n \h </w:instrText>
      </w:r>
      <w:r w:rsidR="00A535D1">
        <w:fldChar w:fldCharType="separate"/>
      </w:r>
      <w:r w:rsidR="009646BC">
        <w:t>6.2</w:t>
      </w:r>
      <w:r w:rsidR="00A535D1">
        <w:fldChar w:fldCharType="end"/>
      </w:r>
      <w:r w:rsidR="009434E4">
        <w:t xml:space="preserve"> (</w:t>
      </w:r>
      <w:r w:rsidR="00FA22ED">
        <w:rPr>
          <w:i/>
          <w:iCs/>
        </w:rPr>
        <w:t>Margin calls</w:t>
      </w:r>
      <w:r w:rsidR="00FA22ED">
        <w:t>)</w:t>
      </w:r>
      <w:r w:rsidR="00B3206C" w:rsidRPr="00B3206C">
        <w:t>)</w:t>
      </w:r>
      <w:r>
        <w:t>;</w:t>
      </w:r>
    </w:p>
    <w:p w14:paraId="2994513A" w14:textId="01DB3D4D" w:rsidR="001505AF" w:rsidRDefault="00314E44" w:rsidP="00722E8B">
      <w:pPr>
        <w:pStyle w:val="Level2"/>
        <w:numPr>
          <w:ilvl w:val="0"/>
          <w:numId w:val="0"/>
        </w:numPr>
        <w:ind w:left="680"/>
      </w:pPr>
      <w:r>
        <w:t>“</w:t>
      </w:r>
      <w:r>
        <w:rPr>
          <w:b/>
          <w:bCs/>
        </w:rPr>
        <w:t xml:space="preserve">Title Transfer </w:t>
      </w:r>
      <w:r w:rsidR="00BA6EBB">
        <w:rPr>
          <w:b/>
          <w:bCs/>
        </w:rPr>
        <w:t>Provisions</w:t>
      </w:r>
      <w:r w:rsidR="00BA6EBB">
        <w:t>” means the terms set out in clause</w:t>
      </w:r>
      <w:r w:rsidR="00165136">
        <w:t xml:space="preserve"> </w:t>
      </w:r>
      <w:r w:rsidR="00165136">
        <w:fldChar w:fldCharType="begin" w:fldLock="1"/>
      </w:r>
      <w:r w:rsidR="00165136">
        <w:instrText xml:space="preserve"> REF _Ref139919652 \r \h </w:instrText>
      </w:r>
      <w:r w:rsidR="00165136">
        <w:fldChar w:fldCharType="separate"/>
      </w:r>
      <w:r w:rsidR="009646BC">
        <w:t>7</w:t>
      </w:r>
      <w:r w:rsidR="00165136">
        <w:fldChar w:fldCharType="end"/>
      </w:r>
      <w:r w:rsidR="00165136">
        <w:t xml:space="preserve"> </w:t>
      </w:r>
      <w:r w:rsidR="00BA6EBB">
        <w:t>(</w:t>
      </w:r>
      <w:r w:rsidR="00BA6EBB">
        <w:rPr>
          <w:i/>
          <w:iCs/>
        </w:rPr>
        <w:t>Title Transfer Provisions</w:t>
      </w:r>
      <w:r w:rsidR="00BA6EBB">
        <w:t>)</w:t>
      </w:r>
      <w:r w:rsidR="00D379F4">
        <w:t>;</w:t>
      </w:r>
    </w:p>
    <w:p w14:paraId="2BA6AA78" w14:textId="0CD7C9B7" w:rsidR="00722E8B" w:rsidRPr="00722E8B" w:rsidRDefault="00722E8B" w:rsidP="00722E8B">
      <w:pPr>
        <w:pStyle w:val="Level2"/>
        <w:numPr>
          <w:ilvl w:val="0"/>
          <w:numId w:val="0"/>
        </w:numPr>
        <w:ind w:left="680"/>
      </w:pPr>
      <w:r>
        <w:t>“</w:t>
      </w:r>
      <w:r>
        <w:rPr>
          <w:b/>
          <w:bCs/>
        </w:rPr>
        <w:t>Title Transfer</w:t>
      </w:r>
      <w:r w:rsidR="00E80F72">
        <w:rPr>
          <w:b/>
          <w:bCs/>
        </w:rPr>
        <w:t xml:space="preserve"> Balance V</w:t>
      </w:r>
      <w:r>
        <w:rPr>
          <w:b/>
          <w:bCs/>
        </w:rPr>
        <w:t>alue</w:t>
      </w:r>
      <w:r>
        <w:t>” means the</w:t>
      </w:r>
      <w:r w:rsidR="00E80F72">
        <w:t xml:space="preserve"> amount (which may be positive or negative) equal to</w:t>
      </w:r>
      <w:r w:rsidR="001848A3">
        <w:t xml:space="preserve">: (i) </w:t>
      </w:r>
      <w:r w:rsidR="00E80F72">
        <w:t>the</w:t>
      </w:r>
      <w:r w:rsidR="00BF2A88">
        <w:t xml:space="preserve"> aggregate net</w:t>
      </w:r>
      <w:r w:rsidR="00E80F72">
        <w:t xml:space="preserve"> </w:t>
      </w:r>
      <w:r>
        <w:t>Value of the Title Transfer Balance</w:t>
      </w:r>
      <w:r w:rsidR="00BF2A88">
        <w:t>, after offsetting any positive Values against any negative Values, in each case of the Title Transfer Assets</w:t>
      </w:r>
      <w:r w:rsidR="001848A3">
        <w:t>,</w:t>
      </w:r>
      <w:r>
        <w:t xml:space="preserve"> </w:t>
      </w:r>
      <w:r w:rsidR="00E80F72">
        <w:t>minus</w:t>
      </w:r>
      <w:r w:rsidR="001848A3">
        <w:t>: (ii)</w:t>
      </w:r>
      <w:r w:rsidR="00E80F72">
        <w:t xml:space="preserve"> the</w:t>
      </w:r>
      <w:r w:rsidR="001848A3">
        <w:t xml:space="preserve"> Value of </w:t>
      </w:r>
      <w:r>
        <w:t xml:space="preserve">any liabilities </w:t>
      </w:r>
      <w:r w:rsidR="00224C10">
        <w:t xml:space="preserve">(other than liabilities arising in respect of margin calls) </w:t>
      </w:r>
      <w:r w:rsidR="001848A3">
        <w:t>outstanding</w:t>
      </w:r>
      <w:r>
        <w:t xml:space="preserve"> from the Client to the Firm in accordance with the Client Clearing Agreement </w:t>
      </w:r>
      <w:r w:rsidRPr="00B3206C">
        <w:t xml:space="preserve">(avoiding double counting in respect of </w:t>
      </w:r>
      <w:r>
        <w:t>c</w:t>
      </w:r>
      <w:r w:rsidRPr="00B3206C">
        <w:t>lause</w:t>
      </w:r>
      <w:r w:rsidR="00A535D1">
        <w:t>s</w:t>
      </w:r>
      <w:r w:rsidRPr="00B3206C">
        <w:t xml:space="preserve"> </w:t>
      </w:r>
      <w:r>
        <w:fldChar w:fldCharType="begin" w:fldLock="1"/>
      </w:r>
      <w:r>
        <w:instrText xml:space="preserve"> REF _Ref151712019 \r \h </w:instrText>
      </w:r>
      <w:r>
        <w:fldChar w:fldCharType="separate"/>
      </w:r>
      <w:r w:rsidR="009646BC">
        <w:t>6.1</w:t>
      </w:r>
      <w:r>
        <w:fldChar w:fldCharType="end"/>
      </w:r>
      <w:r>
        <w:t xml:space="preserve"> </w:t>
      </w:r>
      <w:r w:rsidRPr="00B3206C">
        <w:t>(</w:t>
      </w:r>
      <w:r w:rsidRPr="00A034BD">
        <w:rPr>
          <w:i/>
          <w:iCs/>
        </w:rPr>
        <w:t>Performance</w:t>
      </w:r>
      <w:r>
        <w:rPr>
          <w:i/>
          <w:iCs/>
        </w:rPr>
        <w:t xml:space="preserve"> and</w:t>
      </w:r>
      <w:r w:rsidRPr="00A034BD">
        <w:rPr>
          <w:i/>
          <w:iCs/>
        </w:rPr>
        <w:t xml:space="preserve"> settlement</w:t>
      </w:r>
      <w:r w:rsidRPr="00B3206C">
        <w:t>)</w:t>
      </w:r>
      <w:r>
        <w:t xml:space="preserve"> and </w:t>
      </w:r>
      <w:r w:rsidR="00A535D1">
        <w:fldChar w:fldCharType="begin" w:fldLock="1"/>
      </w:r>
      <w:r w:rsidR="00A535D1">
        <w:instrText xml:space="preserve"> REF _Ref192019204 \n \h </w:instrText>
      </w:r>
      <w:r w:rsidR="00A535D1">
        <w:fldChar w:fldCharType="separate"/>
      </w:r>
      <w:r w:rsidR="009646BC">
        <w:t>6.2</w:t>
      </w:r>
      <w:r w:rsidR="00A535D1">
        <w:fldChar w:fldCharType="end"/>
      </w:r>
      <w:r>
        <w:t xml:space="preserve"> (</w:t>
      </w:r>
      <w:r>
        <w:rPr>
          <w:i/>
          <w:iCs/>
        </w:rPr>
        <w:t>Margin calls</w:t>
      </w:r>
      <w:r w:rsidR="00A535D1">
        <w:t>)</w:t>
      </w:r>
      <w:r w:rsidR="00CA61CF">
        <w:rPr>
          <w:i/>
          <w:iCs/>
        </w:rPr>
        <w:t xml:space="preserve">, </w:t>
      </w:r>
      <w:r w:rsidR="00CA61CF">
        <w:t>but including any Shortfall Amounts</w:t>
      </w:r>
      <w:r>
        <w:t xml:space="preserve">), </w:t>
      </w:r>
      <w:r w:rsidR="001848A3">
        <w:t xml:space="preserve">which have not otherwise been applied </w:t>
      </w:r>
      <w:r w:rsidR="004940AD">
        <w:t xml:space="preserve">so as </w:t>
      </w:r>
      <w:r w:rsidR="001848A3">
        <w:t>to reduce the Title Transfer Balance</w:t>
      </w:r>
      <w:r w:rsidR="00E80F72">
        <w:t xml:space="preserve">. </w:t>
      </w:r>
    </w:p>
    <w:p w14:paraId="743524CB" w14:textId="22054DAF" w:rsidR="00D379F4" w:rsidRDefault="00D379F4" w:rsidP="004E00A3">
      <w:pPr>
        <w:pStyle w:val="Level2"/>
        <w:numPr>
          <w:ilvl w:val="0"/>
          <w:numId w:val="0"/>
        </w:numPr>
        <w:ind w:left="680"/>
      </w:pPr>
      <w:r>
        <w:t>“</w:t>
      </w:r>
      <w:r>
        <w:rPr>
          <w:b/>
          <w:bCs/>
        </w:rPr>
        <w:t>Transaction</w:t>
      </w:r>
      <w:r>
        <w:t xml:space="preserve">” means any transaction between the Firm and the CCP for which the Firm is providing clearing Services to the Client under this </w:t>
      </w:r>
      <w:r w:rsidR="007C5724">
        <w:t xml:space="preserve">Client Clearing </w:t>
      </w:r>
      <w:r>
        <w:t xml:space="preserve">Agreement; </w:t>
      </w:r>
    </w:p>
    <w:p w14:paraId="45D03D0F" w14:textId="77777777" w:rsidR="00D379F4" w:rsidRDefault="00D379F4" w:rsidP="00D379F4">
      <w:pPr>
        <w:pStyle w:val="Level2"/>
        <w:numPr>
          <w:ilvl w:val="0"/>
          <w:numId w:val="0"/>
        </w:numPr>
        <w:ind w:left="680"/>
      </w:pPr>
      <w:r>
        <w:t>"</w:t>
      </w:r>
      <w:r w:rsidRPr="00D379F4">
        <w:rPr>
          <w:b/>
          <w:bCs/>
        </w:rPr>
        <w:t>transaction</w:t>
      </w:r>
      <w:r>
        <w:t xml:space="preserve">" means any of the following: </w:t>
      </w:r>
    </w:p>
    <w:p w14:paraId="60C34FC6" w14:textId="51E46FE3" w:rsidR="00D379F4" w:rsidRDefault="00D379F4" w:rsidP="00BE157C">
      <w:pPr>
        <w:pStyle w:val="alpha2"/>
        <w:numPr>
          <w:ilvl w:val="1"/>
          <w:numId w:val="195"/>
        </w:numPr>
      </w:pPr>
      <w:bookmarkStart w:id="155" w:name="_Ref192019276"/>
      <w:r>
        <w:t>a contract made on a trading venue or pursuant to the Rules of a trading venue;</w:t>
      </w:r>
      <w:bookmarkEnd w:id="155"/>
      <w:r>
        <w:t xml:space="preserve"> </w:t>
      </w:r>
    </w:p>
    <w:p w14:paraId="3FD84B47" w14:textId="2BA66960" w:rsidR="00D379F4" w:rsidRDefault="00D379F4" w:rsidP="00BE157C">
      <w:pPr>
        <w:pStyle w:val="alpha2"/>
      </w:pPr>
      <w:bookmarkStart w:id="156" w:name="_Ref192019283"/>
      <w:r>
        <w:t>a contract which is subject to the Rules of an Infrastructure;</w:t>
      </w:r>
      <w:bookmarkEnd w:id="156"/>
      <w:r>
        <w:t xml:space="preserve"> </w:t>
      </w:r>
    </w:p>
    <w:p w14:paraId="67CCAF4B" w14:textId="2A2561DE" w:rsidR="00D379F4" w:rsidRDefault="00D379F4" w:rsidP="00BE157C">
      <w:pPr>
        <w:pStyle w:val="alpha2"/>
        <w:numPr>
          <w:ilvl w:val="1"/>
          <w:numId w:val="195"/>
        </w:numPr>
      </w:pPr>
      <w:bookmarkStart w:id="157" w:name="_Ref192019290"/>
      <w:r>
        <w:t>a contract which would (but for its term to maturity only) be a contract made on, or subject to the Rules of, a trading venue and which, at the appropriate time, is to be submitted for clearing as a contract made on, or subject to the Rules of, an Infrastructure,</w:t>
      </w:r>
      <w:bookmarkEnd w:id="157"/>
      <w:r>
        <w:t xml:space="preserve"> </w:t>
      </w:r>
    </w:p>
    <w:p w14:paraId="326DBB8B" w14:textId="0DF36C85" w:rsidR="00D379F4" w:rsidRDefault="00D379F4" w:rsidP="00A715CE">
      <w:pPr>
        <w:pStyle w:val="Level2"/>
        <w:numPr>
          <w:ilvl w:val="0"/>
          <w:numId w:val="0"/>
        </w:numPr>
        <w:ind w:left="680"/>
      </w:pPr>
      <w:r>
        <w:t xml:space="preserve">[in any of cases </w:t>
      </w:r>
      <w:r w:rsidR="00A535D1">
        <w:fldChar w:fldCharType="begin" w:fldLock="1"/>
      </w:r>
      <w:r w:rsidR="00A535D1">
        <w:instrText xml:space="preserve"> REF _Ref192019276 \n \h </w:instrText>
      </w:r>
      <w:r w:rsidR="00A535D1">
        <w:fldChar w:fldCharType="separate"/>
      </w:r>
      <w:r w:rsidR="009646BC">
        <w:t>(a)</w:t>
      </w:r>
      <w:r w:rsidR="00A535D1">
        <w:fldChar w:fldCharType="end"/>
      </w:r>
      <w:r>
        <w:t xml:space="preserve">, </w:t>
      </w:r>
      <w:r w:rsidR="00A535D1">
        <w:fldChar w:fldCharType="begin" w:fldLock="1"/>
      </w:r>
      <w:r w:rsidR="00A535D1">
        <w:instrText xml:space="preserve"> REF _Ref192019283 \n \h </w:instrText>
      </w:r>
      <w:r w:rsidR="00A535D1">
        <w:fldChar w:fldCharType="separate"/>
      </w:r>
      <w:r w:rsidR="009646BC">
        <w:t>(b)</w:t>
      </w:r>
      <w:r w:rsidR="00A535D1">
        <w:fldChar w:fldCharType="end"/>
      </w:r>
      <w:r>
        <w:t xml:space="preserve"> and </w:t>
      </w:r>
      <w:r w:rsidR="00A535D1">
        <w:fldChar w:fldCharType="begin" w:fldLock="1"/>
      </w:r>
      <w:r w:rsidR="00A535D1">
        <w:instrText xml:space="preserve"> REF _Ref192019290 \n \h </w:instrText>
      </w:r>
      <w:r w:rsidR="00A535D1">
        <w:fldChar w:fldCharType="separate"/>
      </w:r>
      <w:r w:rsidR="009646BC">
        <w:t>(c)</w:t>
      </w:r>
      <w:r w:rsidR="00A535D1">
        <w:fldChar w:fldCharType="end"/>
      </w:r>
      <w:r>
        <w:t xml:space="preserve"> being a future, option, contract for differences, spot or forward contract of any kind in relation to any commodity, metal, financial instrument (including any security), currency, interest rate, index or any combination thereof;]</w:t>
      </w:r>
      <w:r>
        <w:rPr>
          <w:rStyle w:val="FootnoteReference"/>
        </w:rPr>
        <w:footnoteReference w:id="21"/>
      </w:r>
      <w:r>
        <w:t xml:space="preserve"> </w:t>
      </w:r>
    </w:p>
    <w:p w14:paraId="36C0A188" w14:textId="4D43151A" w:rsidR="00D379F4" w:rsidRDefault="00D379F4" w:rsidP="00BE157C">
      <w:pPr>
        <w:pStyle w:val="alpha2"/>
      </w:pPr>
      <w:r>
        <w:t xml:space="preserve">a transaction which is back-to-back with any transaction within paragraph </w:t>
      </w:r>
      <w:r w:rsidR="00A535D1">
        <w:fldChar w:fldCharType="begin" w:fldLock="1"/>
      </w:r>
      <w:r w:rsidR="00A535D1">
        <w:instrText xml:space="preserve"> REF _Ref192019276 \n \h </w:instrText>
      </w:r>
      <w:r w:rsidR="00A535D1">
        <w:fldChar w:fldCharType="separate"/>
      </w:r>
      <w:r w:rsidR="009646BC">
        <w:t>(a)</w:t>
      </w:r>
      <w:r w:rsidR="00A535D1">
        <w:fldChar w:fldCharType="end"/>
      </w:r>
      <w:r>
        <w:t xml:space="preserve">, </w:t>
      </w:r>
      <w:r w:rsidR="00A535D1">
        <w:fldChar w:fldCharType="begin" w:fldLock="1"/>
      </w:r>
      <w:r w:rsidR="00A535D1">
        <w:instrText xml:space="preserve"> REF _Ref192019283 \n \h </w:instrText>
      </w:r>
      <w:r w:rsidR="00A535D1">
        <w:fldChar w:fldCharType="separate"/>
      </w:r>
      <w:r w:rsidR="009646BC">
        <w:t>(b)</w:t>
      </w:r>
      <w:r w:rsidR="00A535D1">
        <w:fldChar w:fldCharType="end"/>
      </w:r>
      <w:r>
        <w:t xml:space="preserve"> or </w:t>
      </w:r>
      <w:r w:rsidR="00A535D1">
        <w:fldChar w:fldCharType="begin" w:fldLock="1"/>
      </w:r>
      <w:r w:rsidR="00A535D1">
        <w:instrText xml:space="preserve"> REF _Ref192019290 \n \h </w:instrText>
      </w:r>
      <w:r w:rsidR="00A535D1">
        <w:fldChar w:fldCharType="separate"/>
      </w:r>
      <w:r w:rsidR="009646BC">
        <w:t>(c)</w:t>
      </w:r>
      <w:r w:rsidR="00A535D1">
        <w:fldChar w:fldCharType="end"/>
      </w:r>
      <w:r>
        <w:t xml:space="preserve"> of this definition; or</w:t>
      </w:r>
    </w:p>
    <w:p w14:paraId="69EBA4CF" w14:textId="5927972D" w:rsidR="00D379F4" w:rsidRDefault="00D379F4" w:rsidP="00BE157C">
      <w:pPr>
        <w:pStyle w:val="alpha2"/>
      </w:pPr>
      <w:r>
        <w:t>any other transaction which the Firm and the Client both agree will be a transaction;</w:t>
      </w:r>
    </w:p>
    <w:p w14:paraId="5EDF7EE0" w14:textId="48C4B5E8" w:rsidR="0081360A" w:rsidRDefault="0081360A" w:rsidP="0081360A">
      <w:pPr>
        <w:pStyle w:val="roman2"/>
        <w:numPr>
          <w:ilvl w:val="0"/>
          <w:numId w:val="0"/>
        </w:numPr>
        <w:ind w:left="680"/>
      </w:pPr>
      <w:r>
        <w:t>“</w:t>
      </w:r>
      <w:r>
        <w:rPr>
          <w:b/>
          <w:bCs/>
        </w:rPr>
        <w:t>Transfer Conditions</w:t>
      </w:r>
      <w:r>
        <w:t xml:space="preserve">” has the meaning given to that term in clause </w:t>
      </w:r>
      <w:r>
        <w:fldChar w:fldCharType="begin" w:fldLock="1"/>
      </w:r>
      <w:r>
        <w:instrText xml:space="preserve"> REF _Ref134018660 \r \h </w:instrText>
      </w:r>
      <w:r>
        <w:fldChar w:fldCharType="separate"/>
      </w:r>
      <w:r w:rsidR="009646BC">
        <w:t>4.3</w:t>
      </w:r>
      <w:r>
        <w:fldChar w:fldCharType="end"/>
      </w:r>
      <w:r>
        <w:t xml:space="preserve"> (</w:t>
      </w:r>
      <w:r>
        <w:rPr>
          <w:i/>
          <w:iCs/>
        </w:rPr>
        <w:t>Transfer Conditions</w:t>
      </w:r>
      <w:r>
        <w:t xml:space="preserve">); </w:t>
      </w:r>
    </w:p>
    <w:p w14:paraId="5F08D420" w14:textId="7480F2B5" w:rsidR="00E90E08" w:rsidRDefault="008A5B1C" w:rsidP="00291F77">
      <w:pPr>
        <w:pStyle w:val="Level2"/>
        <w:numPr>
          <w:ilvl w:val="0"/>
          <w:numId w:val="0"/>
        </w:numPr>
        <w:ind w:left="680"/>
      </w:pPr>
      <w:r>
        <w:t>“</w:t>
      </w:r>
      <w:r w:rsidR="00E90E08" w:rsidRPr="00E90E08">
        <w:rPr>
          <w:b/>
          <w:bCs/>
        </w:rPr>
        <w:t>UK</w:t>
      </w:r>
      <w:r>
        <w:t>”</w:t>
      </w:r>
      <w:r w:rsidR="00E90E08" w:rsidRPr="00E90E08">
        <w:t xml:space="preserve"> means the United Kingdom of Great Britain and Northern Ireland;</w:t>
      </w:r>
    </w:p>
    <w:p w14:paraId="35FB4EC3" w14:textId="156BF57C" w:rsidR="00E90E08" w:rsidRDefault="008A5B1C" w:rsidP="00E90E08">
      <w:pPr>
        <w:pStyle w:val="Level2"/>
        <w:numPr>
          <w:ilvl w:val="0"/>
          <w:numId w:val="0"/>
        </w:numPr>
        <w:ind w:left="680"/>
      </w:pPr>
      <w:r>
        <w:lastRenderedPageBreak/>
        <w:t>“</w:t>
      </w:r>
      <w:r w:rsidR="00E90E08" w:rsidRPr="00E90E08">
        <w:rPr>
          <w:b/>
          <w:bCs/>
        </w:rPr>
        <w:t>US</w:t>
      </w:r>
      <w:r>
        <w:t>”</w:t>
      </w:r>
      <w:r w:rsidR="00E90E08">
        <w:t xml:space="preserve"> means the United States of America; and</w:t>
      </w:r>
    </w:p>
    <w:p w14:paraId="050950DB" w14:textId="734D0111" w:rsidR="00E90E08" w:rsidRDefault="008A5B1C" w:rsidP="00E90E08">
      <w:pPr>
        <w:pStyle w:val="Level2"/>
        <w:numPr>
          <w:ilvl w:val="0"/>
          <w:numId w:val="0"/>
        </w:numPr>
        <w:ind w:left="680"/>
      </w:pPr>
      <w:r>
        <w:t>“</w:t>
      </w:r>
      <w:r w:rsidR="00E90E08" w:rsidRPr="00E90E08">
        <w:rPr>
          <w:b/>
          <w:bCs/>
        </w:rPr>
        <w:t>Value</w:t>
      </w:r>
      <w:r>
        <w:t>”</w:t>
      </w:r>
      <w:r w:rsidR="00E90E08">
        <w:t xml:space="preserve"> means, with respect to margin</w:t>
      </w:r>
      <w:r w:rsidR="001804BA">
        <w:t xml:space="preserve"> or other assets</w:t>
      </w:r>
      <w:r w:rsidR="00E90E08">
        <w:t xml:space="preserve">, in the case of: </w:t>
      </w:r>
    </w:p>
    <w:p w14:paraId="516F9602" w14:textId="72A5E849" w:rsidR="00E90E08" w:rsidRDefault="00E90E08" w:rsidP="001A6624">
      <w:pPr>
        <w:pStyle w:val="alpha2"/>
        <w:numPr>
          <w:ilvl w:val="1"/>
          <w:numId w:val="83"/>
        </w:numPr>
      </w:pPr>
      <w:bookmarkStart w:id="158" w:name="_Ref192019371"/>
      <w:r>
        <w:t xml:space="preserve">cash, the amount of the cash expressed in the Base Currency (as converted, where relevant, in accordance with clause </w:t>
      </w:r>
      <w:r>
        <w:fldChar w:fldCharType="begin" w:fldLock="1"/>
      </w:r>
      <w:r>
        <w:instrText xml:space="preserve"> REF _Ref133419425 \n \h </w:instrText>
      </w:r>
      <w:r>
        <w:fldChar w:fldCharType="separate"/>
      </w:r>
      <w:r w:rsidR="009646BC">
        <w:t>30.1</w:t>
      </w:r>
      <w:r>
        <w:fldChar w:fldCharType="end"/>
      </w:r>
      <w:r>
        <w:t xml:space="preserve"> (</w:t>
      </w:r>
      <w:r w:rsidRPr="0040366A">
        <w:rPr>
          <w:i/>
          <w:iCs/>
        </w:rPr>
        <w:t>Base Currency</w:t>
      </w:r>
      <w:r>
        <w:t>));</w:t>
      </w:r>
      <w:bookmarkEnd w:id="158"/>
      <w:r>
        <w:t xml:space="preserve"> </w:t>
      </w:r>
    </w:p>
    <w:p w14:paraId="40DAAA43" w14:textId="64CDF37A" w:rsidR="00E90E08" w:rsidRDefault="00E90E08" w:rsidP="001A6624">
      <w:pPr>
        <w:pStyle w:val="alpha2"/>
        <w:numPr>
          <w:ilvl w:val="1"/>
          <w:numId w:val="83"/>
        </w:numPr>
      </w:pPr>
      <w:bookmarkStart w:id="159" w:name="_Ref192019388"/>
      <w:r>
        <w:t>securities for which prices are publicly quoted, an amount expressed in the Base Currency and reasonably determined by the Firm as reflecting the value of the securities, by reference where reasonably practicable to independent price sources;</w:t>
      </w:r>
      <w:bookmarkEnd w:id="159"/>
    </w:p>
    <w:p w14:paraId="1FC29685" w14:textId="4283CF6C" w:rsidR="00E90E08" w:rsidRDefault="00E90E08" w:rsidP="001A6624">
      <w:pPr>
        <w:pStyle w:val="alpha2"/>
        <w:numPr>
          <w:ilvl w:val="1"/>
          <w:numId w:val="83"/>
        </w:numPr>
      </w:pPr>
      <w:bookmarkStart w:id="160" w:name="_Ref192019401"/>
      <w:r>
        <w:t>other Acceptable Margin</w:t>
      </w:r>
      <w:r w:rsidR="0039462A">
        <w:t>, Title Transfer Assets</w:t>
      </w:r>
      <w:r>
        <w:t xml:space="preserve"> or Equivalent </w:t>
      </w:r>
      <w:r w:rsidR="00746B1C">
        <w:t>Title Transfer Assets</w:t>
      </w:r>
      <w:r>
        <w:t xml:space="preserve">, an amount expressed in the Base Currency and reasonably determined by the Firm as reflecting the value of the Acceptable Margin or Equivalent </w:t>
      </w:r>
      <w:r w:rsidR="00746B1C">
        <w:t>Title Transfer Assets</w:t>
      </w:r>
      <w:r>
        <w:t>, by reference where reasonably practicable to independent price sources; and</w:t>
      </w:r>
      <w:bookmarkEnd w:id="160"/>
      <w:r>
        <w:t xml:space="preserve"> </w:t>
      </w:r>
    </w:p>
    <w:p w14:paraId="07153F6A" w14:textId="762F067F" w:rsidR="00E90E08" w:rsidRDefault="00E90E08" w:rsidP="001A6624">
      <w:pPr>
        <w:pStyle w:val="alpha2"/>
        <w:numPr>
          <w:ilvl w:val="1"/>
          <w:numId w:val="83"/>
        </w:numPr>
      </w:pPr>
      <w:r>
        <w:t>items that are not Acceptable Margin or otherwise permissible under clause</w:t>
      </w:r>
      <w:r w:rsidR="008414AA">
        <w:t xml:space="preserve"> </w:t>
      </w:r>
      <w:r w:rsidR="002E11F7">
        <w:fldChar w:fldCharType="begin" w:fldLock="1"/>
      </w:r>
      <w:r w:rsidR="002E11F7">
        <w:instrText xml:space="preserve"> REF _Ref161145665 \r \h </w:instrText>
      </w:r>
      <w:r w:rsidR="002E11F7">
        <w:fldChar w:fldCharType="separate"/>
      </w:r>
      <w:r w:rsidR="009646BC">
        <w:t>6.3</w:t>
      </w:r>
      <w:r w:rsidR="002E11F7">
        <w:fldChar w:fldCharType="end"/>
      </w:r>
      <w:r w:rsidR="002E11F7">
        <w:t xml:space="preserve"> </w:t>
      </w:r>
      <w:r>
        <w:t>(</w:t>
      </w:r>
      <w:r w:rsidRPr="009748CA">
        <w:rPr>
          <w:i/>
          <w:iCs/>
        </w:rPr>
        <w:t>Form of margin</w:t>
      </w:r>
      <w:r>
        <w:t xml:space="preserve">), zero for the purposes of determining the Client's compliance with any margin obligation, and otherwise in accordance with paragraph </w:t>
      </w:r>
      <w:r w:rsidR="00A535D1">
        <w:fldChar w:fldCharType="begin" w:fldLock="1"/>
      </w:r>
      <w:r w:rsidR="00A535D1">
        <w:instrText xml:space="preserve"> REF _Ref192019371 \n \h </w:instrText>
      </w:r>
      <w:r w:rsidR="00A535D1">
        <w:fldChar w:fldCharType="separate"/>
      </w:r>
      <w:r w:rsidR="009646BC">
        <w:t>(a)</w:t>
      </w:r>
      <w:r w:rsidR="00A535D1">
        <w:fldChar w:fldCharType="end"/>
      </w:r>
      <w:r>
        <w:t xml:space="preserve">, </w:t>
      </w:r>
      <w:r w:rsidR="00A535D1">
        <w:fldChar w:fldCharType="begin" w:fldLock="1"/>
      </w:r>
      <w:r w:rsidR="00A535D1">
        <w:instrText xml:space="preserve"> REF _Ref192019388 \n \h </w:instrText>
      </w:r>
      <w:r w:rsidR="00A535D1">
        <w:fldChar w:fldCharType="separate"/>
      </w:r>
      <w:r w:rsidR="009646BC">
        <w:t>(b)</w:t>
      </w:r>
      <w:r w:rsidR="00A535D1">
        <w:fldChar w:fldCharType="end"/>
      </w:r>
      <w:r>
        <w:t xml:space="preserve"> or </w:t>
      </w:r>
      <w:r w:rsidR="00A535D1">
        <w:fldChar w:fldCharType="begin" w:fldLock="1"/>
      </w:r>
      <w:r w:rsidR="00A535D1">
        <w:instrText xml:space="preserve"> REF _Ref192019401 \n \h </w:instrText>
      </w:r>
      <w:r w:rsidR="00A535D1">
        <w:fldChar w:fldCharType="separate"/>
      </w:r>
      <w:r w:rsidR="009646BC">
        <w:t>(c)</w:t>
      </w:r>
      <w:r w:rsidR="00A535D1">
        <w:fldChar w:fldCharType="end"/>
      </w:r>
      <w:r>
        <w:t xml:space="preserve"> above,</w:t>
      </w:r>
    </w:p>
    <w:p w14:paraId="21CDAC10" w14:textId="0AF1AA67" w:rsidR="00E90E08" w:rsidRDefault="00E90E08" w:rsidP="001A6624">
      <w:pPr>
        <w:pStyle w:val="Level2"/>
        <w:numPr>
          <w:ilvl w:val="0"/>
          <w:numId w:val="0"/>
        </w:numPr>
        <w:ind w:left="680"/>
      </w:pPr>
      <w:r>
        <w:t xml:space="preserve">except that, for the purposes of the Firm's determination of any margin balances and whether margin calls have been satisfied, further deductions will be made to the values referred to in paragraphs </w:t>
      </w:r>
      <w:r w:rsidR="00A535D1">
        <w:fldChar w:fldCharType="begin" w:fldLock="1"/>
      </w:r>
      <w:r w:rsidR="00A535D1">
        <w:instrText xml:space="preserve"> REF _Ref192019371 \n \h </w:instrText>
      </w:r>
      <w:r w:rsidR="00A535D1">
        <w:fldChar w:fldCharType="separate"/>
      </w:r>
      <w:r w:rsidR="009646BC">
        <w:t>(a)</w:t>
      </w:r>
      <w:r w:rsidR="00A535D1">
        <w:fldChar w:fldCharType="end"/>
      </w:r>
      <w:r>
        <w:t xml:space="preserve">, </w:t>
      </w:r>
      <w:r w:rsidR="00A535D1">
        <w:fldChar w:fldCharType="begin" w:fldLock="1"/>
      </w:r>
      <w:r w:rsidR="00A535D1">
        <w:instrText xml:space="preserve"> REF _Ref192019388 \n \h </w:instrText>
      </w:r>
      <w:r w:rsidR="00A535D1">
        <w:fldChar w:fldCharType="separate"/>
      </w:r>
      <w:r w:rsidR="009646BC">
        <w:t>(b)</w:t>
      </w:r>
      <w:r w:rsidR="00A535D1">
        <w:fldChar w:fldCharType="end"/>
      </w:r>
      <w:r>
        <w:t xml:space="preserve"> and </w:t>
      </w:r>
      <w:r w:rsidR="00A535D1">
        <w:fldChar w:fldCharType="begin" w:fldLock="1"/>
      </w:r>
      <w:r w:rsidR="00A535D1">
        <w:instrText xml:space="preserve"> REF _Ref192019401 \n \h </w:instrText>
      </w:r>
      <w:r w:rsidR="00A535D1">
        <w:fldChar w:fldCharType="separate"/>
      </w:r>
      <w:r w:rsidR="009646BC">
        <w:t>(c)</w:t>
      </w:r>
      <w:r w:rsidR="00A535D1">
        <w:fldChar w:fldCharType="end"/>
      </w:r>
      <w:r>
        <w:t xml:space="preserve"> above to reflect haircuts (if any).</w:t>
      </w:r>
    </w:p>
    <w:p w14:paraId="2D10F33D" w14:textId="5219582E" w:rsidR="009748CA" w:rsidRDefault="009748CA" w:rsidP="00094771">
      <w:pPr>
        <w:pStyle w:val="Level2"/>
      </w:pPr>
      <w:bookmarkStart w:id="161" w:name="_Ref138771394"/>
      <w:r w:rsidRPr="009748CA">
        <w:rPr>
          <w:b/>
          <w:bCs/>
          <w:i/>
          <w:iCs/>
        </w:rPr>
        <w:t>General interpretation</w:t>
      </w:r>
      <w:r w:rsidRPr="004C0F61">
        <w:rPr>
          <w:b/>
          <w:bCs/>
        </w:rPr>
        <w:t>:</w:t>
      </w:r>
      <w:r>
        <w:t xml:space="preserve"> In this </w:t>
      </w:r>
      <w:r w:rsidR="002B44F7">
        <w:t xml:space="preserve">Client Clearing </w:t>
      </w:r>
      <w:r>
        <w:t>Agreement:</w:t>
      </w:r>
      <w:bookmarkEnd w:id="161"/>
      <w:r>
        <w:t xml:space="preserve"> </w:t>
      </w:r>
    </w:p>
    <w:p w14:paraId="7E504033" w14:textId="77777777" w:rsidR="009748CA" w:rsidRDefault="009748CA" w:rsidP="00623726">
      <w:pPr>
        <w:pStyle w:val="Level3"/>
      </w:pPr>
      <w:r>
        <w:t xml:space="preserve">a reference to: </w:t>
      </w:r>
    </w:p>
    <w:p w14:paraId="406155A8" w14:textId="4F595AF9" w:rsidR="000C3C9B" w:rsidRDefault="009748CA" w:rsidP="001A0472">
      <w:pPr>
        <w:pStyle w:val="Level4"/>
      </w:pPr>
      <w:r>
        <w:t xml:space="preserve">a </w:t>
      </w:r>
      <w:r w:rsidR="008A5B1C">
        <w:t>“</w:t>
      </w:r>
      <w:r>
        <w:t>clause</w:t>
      </w:r>
      <w:r w:rsidR="008A5B1C">
        <w:t>”</w:t>
      </w:r>
      <w:r>
        <w:t xml:space="preserve">, </w:t>
      </w:r>
      <w:r w:rsidR="008A5B1C">
        <w:t>“</w:t>
      </w:r>
      <w:r>
        <w:t>Annex</w:t>
      </w:r>
      <w:r w:rsidR="008A5B1C">
        <w:t>”</w:t>
      </w:r>
      <w:r>
        <w:t xml:space="preserve"> or </w:t>
      </w:r>
      <w:r w:rsidR="008A5B1C">
        <w:t>“</w:t>
      </w:r>
      <w:r>
        <w:t>Schedule</w:t>
      </w:r>
      <w:r w:rsidR="008A5B1C">
        <w:t>”</w:t>
      </w:r>
      <w:r>
        <w:t xml:space="preserve"> will be construed as a reference to, respectively, a clause of or an annex or schedule to this </w:t>
      </w:r>
      <w:r w:rsidR="002B44F7">
        <w:t xml:space="preserve">Client Clearing </w:t>
      </w:r>
      <w:r>
        <w:t>Agreement, unless the context requires otherwise;</w:t>
      </w:r>
    </w:p>
    <w:p w14:paraId="2F314106" w14:textId="77777777" w:rsidR="009748CA" w:rsidRDefault="009748CA" w:rsidP="001A0472">
      <w:pPr>
        <w:pStyle w:val="Level4"/>
      </w:pPr>
      <w:r>
        <w:t xml:space="preserve">any statute or statutory instrument or Applicable Regulations includes any modification, amendment, extension or re-enactment thereof, as in force from time to time; </w:t>
      </w:r>
    </w:p>
    <w:p w14:paraId="0F98475E" w14:textId="0B7C56A0" w:rsidR="009748CA" w:rsidRDefault="009748CA" w:rsidP="001A0472">
      <w:pPr>
        <w:pStyle w:val="Level4"/>
      </w:pPr>
      <w:r>
        <w:t xml:space="preserve">a </w:t>
      </w:r>
      <w:r w:rsidR="00D621CC">
        <w:t>“</w:t>
      </w:r>
      <w:r>
        <w:t>document</w:t>
      </w:r>
      <w:r w:rsidR="00D621CC">
        <w:t>”</w:t>
      </w:r>
      <w:r w:rsidR="000C3C9B">
        <w:t>, “clause”, “Annex”, “Schedule”</w:t>
      </w:r>
      <w:r>
        <w:t xml:space="preserve"> or </w:t>
      </w:r>
      <w:r w:rsidR="00D621CC">
        <w:t>“</w:t>
      </w:r>
      <w:r>
        <w:t>agreement</w:t>
      </w:r>
      <w:r w:rsidR="00D621CC">
        <w:t>”</w:t>
      </w:r>
      <w:r>
        <w:t xml:space="preserve"> (including th</w:t>
      </w:r>
      <w:r w:rsidR="00702E77">
        <w:t>e</w:t>
      </w:r>
      <w:r>
        <w:t xml:space="preserve"> Agreement) is a reference to that document</w:t>
      </w:r>
      <w:r w:rsidR="000C3C9B">
        <w:t>, clause, annex, schedule</w:t>
      </w:r>
      <w:r>
        <w:t xml:space="preserve"> or agreement as </w:t>
      </w:r>
      <w:r w:rsidR="00F610D0">
        <w:t xml:space="preserve">supplemented, </w:t>
      </w:r>
      <w:r>
        <w:t>modified or replaced from time to time and will be construed to include any electronic document or agreement;</w:t>
      </w:r>
    </w:p>
    <w:p w14:paraId="5FF69FDD" w14:textId="6A21A65A" w:rsidR="009748CA" w:rsidRDefault="00D621CC" w:rsidP="001A0472">
      <w:pPr>
        <w:pStyle w:val="Level4"/>
      </w:pPr>
      <w:r>
        <w:t>“</w:t>
      </w:r>
      <w:r w:rsidR="009748CA">
        <w:t>include</w:t>
      </w:r>
      <w:r>
        <w:t>”</w:t>
      </w:r>
      <w:r w:rsidR="009748CA">
        <w:t xml:space="preserve"> will be construed to be without limitation; </w:t>
      </w:r>
    </w:p>
    <w:p w14:paraId="135FBC67" w14:textId="558E09E4" w:rsidR="009748CA" w:rsidRDefault="009748CA" w:rsidP="001A0472">
      <w:pPr>
        <w:pStyle w:val="Level4"/>
      </w:pPr>
      <w:r>
        <w:t xml:space="preserve">a person may refer to either a natural or legal person and includes a reference to that person's legal personal representatives, successors and permitted assigns and transferees; </w:t>
      </w:r>
      <w:r w:rsidR="00720BCC">
        <w:t>and</w:t>
      </w:r>
    </w:p>
    <w:p w14:paraId="47EF1230" w14:textId="34C4DC41" w:rsidR="00720BCC" w:rsidRDefault="00720BCC" w:rsidP="001A0472">
      <w:pPr>
        <w:pStyle w:val="Level4"/>
      </w:pPr>
      <w:r w:rsidRPr="00720BCC">
        <w:t>“margin” shall include</w:t>
      </w:r>
      <w:r>
        <w:t xml:space="preserve"> collateral,</w:t>
      </w:r>
      <w:r w:rsidRPr="00720BCC">
        <w:t xml:space="preserve"> variation margin, initial margin and payments of principal, coupon and other payments under Transactions</w:t>
      </w:r>
      <w:r>
        <w:t>;</w:t>
      </w:r>
    </w:p>
    <w:p w14:paraId="5ACB6A19" w14:textId="77777777" w:rsidR="009748CA" w:rsidRDefault="009748CA" w:rsidP="00623726">
      <w:pPr>
        <w:pStyle w:val="Level3"/>
      </w:pPr>
      <w:r>
        <w:t xml:space="preserve">the masculine includes the feminine and the neuter and the singular includes the plural and vice versa as the context admits or requires; </w:t>
      </w:r>
    </w:p>
    <w:p w14:paraId="48B22124" w14:textId="48F5A0C2" w:rsidR="009748CA" w:rsidRDefault="009748CA" w:rsidP="00623726">
      <w:pPr>
        <w:pStyle w:val="Level3"/>
      </w:pPr>
      <w:r>
        <w:lastRenderedPageBreak/>
        <w:t>words and phrases defined in the FCA's Rules have the same meaning in this</w:t>
      </w:r>
      <w:r w:rsidR="00A1551B">
        <w:t xml:space="preserve"> Client Clearing</w:t>
      </w:r>
      <w:r>
        <w:t xml:space="preserve"> Agreement unless expressly defined in this </w:t>
      </w:r>
      <w:r w:rsidR="00A1551B">
        <w:t xml:space="preserve">Client Clearing </w:t>
      </w:r>
      <w:r>
        <w:t>Agreement; and</w:t>
      </w:r>
    </w:p>
    <w:p w14:paraId="74AE36AB" w14:textId="77777777" w:rsidR="009748CA" w:rsidRDefault="009748CA" w:rsidP="00623726">
      <w:pPr>
        <w:pStyle w:val="Level3"/>
      </w:pPr>
      <w:bookmarkStart w:id="162" w:name="_Ref139919570"/>
      <w:r>
        <w:t>any power or right conferred upon the Firm may be exercised by the Firm in its sole and absolute discretion, subject only to Applicable Regulations.</w:t>
      </w:r>
      <w:bookmarkEnd w:id="162"/>
    </w:p>
    <w:p w14:paraId="5A744118" w14:textId="77777777" w:rsidR="009748CA" w:rsidRPr="009748CA" w:rsidRDefault="009748CA" w:rsidP="00094771">
      <w:pPr>
        <w:pStyle w:val="Level2"/>
        <w:rPr>
          <w:b/>
          <w:bCs/>
          <w:i/>
          <w:iCs/>
        </w:rPr>
      </w:pPr>
      <w:r w:rsidRPr="009748CA">
        <w:rPr>
          <w:b/>
          <w:bCs/>
          <w:i/>
          <w:iCs/>
        </w:rPr>
        <w:t xml:space="preserve">Annex and Schedules: </w:t>
      </w:r>
    </w:p>
    <w:p w14:paraId="38F2230A" w14:textId="77777777" w:rsidR="009748CA" w:rsidRDefault="009748CA" w:rsidP="00623726">
      <w:pPr>
        <w:pStyle w:val="Level3"/>
      </w:pPr>
      <w:r>
        <w:t xml:space="preserve">The clauses contained in the Annex and any attached Schedule(s) (as amended from time to time) will apply. </w:t>
      </w:r>
    </w:p>
    <w:p w14:paraId="3C3710FF" w14:textId="2B4FCFBD" w:rsidR="009748CA" w:rsidRDefault="009748CA" w:rsidP="00623726">
      <w:pPr>
        <w:pStyle w:val="Level3"/>
      </w:pPr>
      <w:r>
        <w:t xml:space="preserve">The Firm may from time to time send to the Client further </w:t>
      </w:r>
      <w:r w:rsidR="00C2324B">
        <w:t xml:space="preserve">Annexes </w:t>
      </w:r>
      <w:r>
        <w:t xml:space="preserve">in respect of trading venues or Transactions or other matters. </w:t>
      </w:r>
      <w:r w:rsidR="001804BA" w:rsidRPr="001804BA">
        <w:t xml:space="preserve">In the event of any conflict between the clauses of any </w:t>
      </w:r>
      <w:r w:rsidR="00E612C6">
        <w:t>Annex</w:t>
      </w:r>
      <w:r w:rsidR="00E612C6" w:rsidRPr="001804BA">
        <w:t xml:space="preserve"> </w:t>
      </w:r>
      <w:r w:rsidR="001804BA" w:rsidRPr="001804BA">
        <w:t xml:space="preserve">and this Agreement, the clauses of the </w:t>
      </w:r>
      <w:r w:rsidR="00E612C6">
        <w:t>Annex</w:t>
      </w:r>
      <w:r w:rsidR="00E612C6" w:rsidRPr="001804BA">
        <w:t xml:space="preserve"> </w:t>
      </w:r>
      <w:r w:rsidR="001804BA" w:rsidRPr="001804BA">
        <w:t>will prevail</w:t>
      </w:r>
      <w:r w:rsidR="001804BA">
        <w:t xml:space="preserve">. </w:t>
      </w:r>
      <w:r>
        <w:t>The fact that a clause is or is not specifically included in a</w:t>
      </w:r>
      <w:r w:rsidR="00E612C6">
        <w:t>n Annex</w:t>
      </w:r>
      <w:r w:rsidR="001F54BD">
        <w:t xml:space="preserve"> </w:t>
      </w:r>
      <w:r>
        <w:t xml:space="preserve">in respect of one trading venue or Transaction will not preclude a similar clause being expressed or implied in relation to any other trading venue or Transaction. The Firm may amend existing </w:t>
      </w:r>
      <w:r w:rsidR="008866F0">
        <w:t xml:space="preserve">Annexes </w:t>
      </w:r>
      <w:r>
        <w:t>by giving notice to the Client in advance.</w:t>
      </w:r>
    </w:p>
    <w:p w14:paraId="489C6109" w14:textId="2B91358D" w:rsidR="00C01636" w:rsidRPr="001804BA" w:rsidRDefault="009748CA" w:rsidP="00094771">
      <w:pPr>
        <w:pStyle w:val="Level2"/>
      </w:pPr>
      <w:r w:rsidRPr="009748CA">
        <w:rPr>
          <w:b/>
          <w:bCs/>
          <w:i/>
          <w:iCs/>
        </w:rPr>
        <w:t>Headings:</w:t>
      </w:r>
      <w:r>
        <w:t xml:space="preserve"> Headings are for ease of reference only and do not form part of this Agreement.</w:t>
      </w:r>
      <w:bookmarkEnd w:id="6"/>
      <w:r w:rsidR="00C01636" w:rsidRPr="001804BA">
        <w:rPr>
          <w:b/>
          <w:bCs/>
          <w:i/>
          <w:iCs/>
        </w:rPr>
        <w:br w:type="page"/>
      </w:r>
    </w:p>
    <w:p w14:paraId="7753FD36" w14:textId="43983552" w:rsidR="00A92A12" w:rsidRDefault="00A92A12" w:rsidP="00A92A12">
      <w:pPr>
        <w:pStyle w:val="SchedApps"/>
      </w:pPr>
      <w:r>
        <w:lastRenderedPageBreak/>
        <w:t>ANNEX</w:t>
      </w:r>
    </w:p>
    <w:p w14:paraId="6BE5C187" w14:textId="5525783D" w:rsidR="009748CA" w:rsidRDefault="009748CA" w:rsidP="00623726">
      <w:pPr>
        <w:pStyle w:val="Schedule1"/>
        <w:numPr>
          <w:ilvl w:val="0"/>
          <w:numId w:val="64"/>
        </w:numPr>
      </w:pPr>
      <w:r w:rsidRPr="00072B6A">
        <w:rPr>
          <w:b/>
          <w:bCs/>
        </w:rPr>
        <w:t>Additional Services</w:t>
      </w:r>
      <w:r>
        <w:tab/>
      </w:r>
      <w:r>
        <w:tab/>
        <w:t>[Not applicable]/[specify]</w:t>
      </w:r>
    </w:p>
    <w:p w14:paraId="7C98FE9A" w14:textId="68AFD85B" w:rsidR="009748CA" w:rsidRPr="00072B6A" w:rsidRDefault="009748CA" w:rsidP="00623726">
      <w:pPr>
        <w:pStyle w:val="Schedule1"/>
        <w:rPr>
          <w:b/>
          <w:bCs/>
        </w:rPr>
      </w:pPr>
      <w:r w:rsidRPr="00072B6A">
        <w:rPr>
          <w:b/>
          <w:bCs/>
        </w:rPr>
        <w:t>Base Currency</w:t>
      </w:r>
    </w:p>
    <w:p w14:paraId="49064CDA" w14:textId="70FC2F2A" w:rsidR="009748CA" w:rsidRDefault="009748CA" w:rsidP="00072B6A">
      <w:pPr>
        <w:pStyle w:val="Schedule1"/>
        <w:numPr>
          <w:ilvl w:val="0"/>
          <w:numId w:val="0"/>
        </w:numPr>
        <w:ind w:left="680"/>
      </w:pPr>
      <w:r>
        <w:t>Base Currency:</w:t>
      </w:r>
      <w:r>
        <w:tab/>
      </w:r>
      <w:r>
        <w:tab/>
        <w:t>[Not specified]/[specify]</w:t>
      </w:r>
    </w:p>
    <w:p w14:paraId="2311D4D3" w14:textId="64A80794" w:rsidR="0045309E" w:rsidRPr="001A6624" w:rsidRDefault="00F96C88" w:rsidP="00623726">
      <w:pPr>
        <w:pStyle w:val="Schedule1"/>
      </w:pPr>
      <w:r w:rsidRPr="001A6624">
        <w:rPr>
          <w:b/>
          <w:bCs/>
        </w:rPr>
        <w:t>Alternative Margin</w:t>
      </w:r>
      <w:r>
        <w:t>:</w:t>
      </w:r>
      <w:r w:rsidRPr="00F96C88">
        <w:t xml:space="preserve"> </w:t>
      </w:r>
      <w:r>
        <w:tab/>
      </w:r>
      <w:r>
        <w:tab/>
        <w:t>[Not applicable]/[Applicable]</w:t>
      </w:r>
      <w:r>
        <w:rPr>
          <w:rStyle w:val="FootnoteReference"/>
        </w:rPr>
        <w:footnoteReference w:id="22"/>
      </w:r>
    </w:p>
    <w:p w14:paraId="11BF3305" w14:textId="575CED8B" w:rsidR="009748CA" w:rsidRDefault="009748CA" w:rsidP="00623726">
      <w:pPr>
        <w:pStyle w:val="Schedule1"/>
      </w:pPr>
      <w:r w:rsidRPr="00072B6A">
        <w:rPr>
          <w:b/>
          <w:bCs/>
        </w:rPr>
        <w:t>Excess Margin Posting</w:t>
      </w:r>
      <w:r w:rsidRPr="004C0F61">
        <w:t>:</w:t>
      </w:r>
      <w:r w:rsidRPr="00072B6A">
        <w:rPr>
          <w:b/>
          <w:bCs/>
        </w:rPr>
        <w:tab/>
      </w:r>
      <w:r>
        <w:t>[As may be agreed between the Firm and the Client from time to time] [As specified in Table A in respect of each Agreed CCP Service][The following provisions will apply: [specify].]</w:t>
      </w:r>
    </w:p>
    <w:p w14:paraId="6F1508E7" w14:textId="2BF7BA22" w:rsidR="009748CA" w:rsidRPr="0091400B" w:rsidRDefault="009748CA" w:rsidP="00623726">
      <w:pPr>
        <w:pStyle w:val="Schedule1"/>
        <w:rPr>
          <w:b/>
          <w:bCs/>
        </w:rPr>
      </w:pPr>
      <w:r w:rsidRPr="0091400B">
        <w:rPr>
          <w:b/>
          <w:bCs/>
        </w:rPr>
        <w:t>Capacity</w:t>
      </w:r>
    </w:p>
    <w:p w14:paraId="150367B4" w14:textId="77777777" w:rsidR="009748CA" w:rsidRDefault="009748CA" w:rsidP="0091400B">
      <w:pPr>
        <w:pStyle w:val="Schedule1"/>
        <w:numPr>
          <w:ilvl w:val="0"/>
          <w:numId w:val="0"/>
        </w:numPr>
        <w:ind w:left="680"/>
      </w:pPr>
      <w:r>
        <w:t>[●]</w:t>
      </w:r>
    </w:p>
    <w:p w14:paraId="3EAE1984" w14:textId="24508E5C" w:rsidR="009748CA" w:rsidRPr="0091400B" w:rsidRDefault="009748CA" w:rsidP="00623726">
      <w:pPr>
        <w:pStyle w:val="Schedule1"/>
        <w:rPr>
          <w:b/>
          <w:bCs/>
        </w:rPr>
      </w:pPr>
      <w:r w:rsidRPr="0091400B">
        <w:rPr>
          <w:b/>
          <w:bCs/>
        </w:rPr>
        <w:t xml:space="preserve">Address for Notices </w:t>
      </w:r>
    </w:p>
    <w:p w14:paraId="3815AE7A" w14:textId="508DF040" w:rsidR="009748CA" w:rsidRDefault="009748CA" w:rsidP="0091400B">
      <w:pPr>
        <w:pStyle w:val="Schedule1"/>
        <w:numPr>
          <w:ilvl w:val="0"/>
          <w:numId w:val="0"/>
        </w:numPr>
        <w:ind w:left="680"/>
      </w:pPr>
      <w:r>
        <w:t>The respective details for notices to the Firm and the Client are as follows:</w:t>
      </w:r>
    </w:p>
    <w:p w14:paraId="32D349C6" w14:textId="77777777" w:rsidR="009748CA" w:rsidRPr="0091400B" w:rsidRDefault="009748CA" w:rsidP="0091400B">
      <w:pPr>
        <w:pStyle w:val="Schedule1"/>
        <w:numPr>
          <w:ilvl w:val="0"/>
          <w:numId w:val="0"/>
        </w:numPr>
        <w:ind w:left="680"/>
        <w:rPr>
          <w:b/>
          <w:bCs/>
          <w:i/>
          <w:iCs/>
        </w:rPr>
      </w:pPr>
      <w:r w:rsidRPr="0091400B">
        <w:rPr>
          <w:b/>
          <w:bCs/>
          <w:i/>
          <w:iCs/>
        </w:rPr>
        <w:t xml:space="preserve">The Firm's Details </w:t>
      </w:r>
    </w:p>
    <w:p w14:paraId="6EC20765" w14:textId="39B866E7" w:rsidR="009748CA" w:rsidRDefault="009748CA" w:rsidP="0091400B">
      <w:pPr>
        <w:pStyle w:val="Schedule1"/>
        <w:numPr>
          <w:ilvl w:val="0"/>
          <w:numId w:val="0"/>
        </w:numPr>
        <w:ind w:left="680"/>
      </w:pPr>
      <w:r>
        <w:t xml:space="preserve">For the purposes of clause </w:t>
      </w:r>
      <w:r w:rsidR="0091400B">
        <w:fldChar w:fldCharType="begin" w:fldLock="1"/>
      </w:r>
      <w:r w:rsidR="0091400B">
        <w:instrText xml:space="preserve"> REF _Ref133411410 \n \h </w:instrText>
      </w:r>
      <w:r w:rsidR="0091400B">
        <w:fldChar w:fldCharType="separate"/>
      </w:r>
      <w:r w:rsidR="009646BC">
        <w:t>27.2.1</w:t>
      </w:r>
      <w:r w:rsidR="0091400B">
        <w:fldChar w:fldCharType="end"/>
      </w:r>
      <w:r w:rsidR="0091400B">
        <w:t xml:space="preserve"> </w:t>
      </w:r>
      <w:r>
        <w:t>(</w:t>
      </w:r>
      <w:r w:rsidR="00706EC0" w:rsidRPr="0091400B">
        <w:rPr>
          <w:i/>
          <w:iCs/>
        </w:rPr>
        <w:t xml:space="preserve">notices </w:t>
      </w:r>
      <w:r w:rsidRPr="0091400B">
        <w:rPr>
          <w:i/>
          <w:iCs/>
        </w:rPr>
        <w:t xml:space="preserve">other than those relating to close-out, termination or determinations of any </w:t>
      </w:r>
      <w:r w:rsidR="00940DE1">
        <w:rPr>
          <w:i/>
          <w:iCs/>
        </w:rPr>
        <w:t>Shortfall</w:t>
      </w:r>
      <w:r w:rsidR="005D021E">
        <w:rPr>
          <w:i/>
          <w:iCs/>
        </w:rPr>
        <w:t xml:space="preserve"> Amount</w:t>
      </w:r>
      <w:r>
        <w:t>):</w:t>
      </w:r>
    </w:p>
    <w:p w14:paraId="24A29F0F" w14:textId="77777777" w:rsidR="009748CA" w:rsidRDefault="009748CA" w:rsidP="0091400B">
      <w:pPr>
        <w:pStyle w:val="Schedule1"/>
        <w:numPr>
          <w:ilvl w:val="0"/>
          <w:numId w:val="0"/>
        </w:numPr>
        <w:ind w:left="680"/>
      </w:pPr>
      <w:r>
        <w:t>Address:</w:t>
      </w:r>
      <w:r>
        <w:tab/>
      </w:r>
      <w:r>
        <w:tab/>
        <w:t>[●]</w:t>
      </w:r>
    </w:p>
    <w:p w14:paraId="0DBCD58C" w14:textId="77777777" w:rsidR="009748CA" w:rsidRDefault="009748CA" w:rsidP="0091400B">
      <w:pPr>
        <w:pStyle w:val="Schedule1"/>
        <w:numPr>
          <w:ilvl w:val="0"/>
          <w:numId w:val="0"/>
        </w:numPr>
        <w:ind w:left="680"/>
      </w:pPr>
      <w:r>
        <w:t>Email address:</w:t>
      </w:r>
      <w:r>
        <w:tab/>
      </w:r>
      <w:r>
        <w:tab/>
        <w:t>[●]</w:t>
      </w:r>
    </w:p>
    <w:p w14:paraId="20592032" w14:textId="77777777" w:rsidR="009748CA" w:rsidRDefault="009748CA" w:rsidP="0091400B">
      <w:pPr>
        <w:pStyle w:val="Schedule1"/>
        <w:numPr>
          <w:ilvl w:val="0"/>
          <w:numId w:val="0"/>
        </w:numPr>
        <w:ind w:left="680"/>
      </w:pPr>
      <w:r>
        <w:t>Attention:</w:t>
      </w:r>
      <w:r>
        <w:tab/>
      </w:r>
      <w:r>
        <w:tab/>
        <w:t>[●]</w:t>
      </w:r>
    </w:p>
    <w:p w14:paraId="1634EAD2" w14:textId="15423F7F" w:rsidR="009748CA" w:rsidRDefault="009748CA" w:rsidP="0091400B">
      <w:pPr>
        <w:pStyle w:val="Schedule1"/>
        <w:numPr>
          <w:ilvl w:val="0"/>
          <w:numId w:val="0"/>
        </w:numPr>
        <w:ind w:left="680"/>
      </w:pPr>
      <w:r>
        <w:t xml:space="preserve">For the purposes of clause </w:t>
      </w:r>
      <w:r w:rsidR="0091400B">
        <w:fldChar w:fldCharType="begin" w:fldLock="1"/>
      </w:r>
      <w:r w:rsidR="0091400B">
        <w:instrText xml:space="preserve"> REF _Ref133411424 \n \h </w:instrText>
      </w:r>
      <w:r w:rsidR="0091400B">
        <w:fldChar w:fldCharType="separate"/>
      </w:r>
      <w:r w:rsidR="009646BC">
        <w:t>27.2.2</w:t>
      </w:r>
      <w:r w:rsidR="0091400B">
        <w:fldChar w:fldCharType="end"/>
      </w:r>
      <w:r w:rsidR="0091400B">
        <w:t xml:space="preserve"> </w:t>
      </w:r>
      <w:r>
        <w:t>(</w:t>
      </w:r>
      <w:r w:rsidR="00706EC0" w:rsidRPr="0091400B">
        <w:rPr>
          <w:i/>
          <w:iCs/>
        </w:rPr>
        <w:t xml:space="preserve">notices </w:t>
      </w:r>
      <w:r w:rsidRPr="0091400B">
        <w:rPr>
          <w:i/>
          <w:iCs/>
        </w:rPr>
        <w:t xml:space="preserve">relating to close-out, termination or determinations of any </w:t>
      </w:r>
      <w:r w:rsidR="00940DE1">
        <w:rPr>
          <w:i/>
          <w:iCs/>
        </w:rPr>
        <w:t>Shortfall</w:t>
      </w:r>
      <w:r w:rsidR="005D021E">
        <w:rPr>
          <w:i/>
          <w:iCs/>
        </w:rPr>
        <w:t xml:space="preserve"> Amount</w:t>
      </w:r>
      <w:r>
        <w:t>):</w:t>
      </w:r>
    </w:p>
    <w:p w14:paraId="072126CD" w14:textId="77777777" w:rsidR="009748CA" w:rsidRDefault="009748CA" w:rsidP="0091400B">
      <w:pPr>
        <w:pStyle w:val="Schedule1"/>
        <w:numPr>
          <w:ilvl w:val="0"/>
          <w:numId w:val="0"/>
        </w:numPr>
        <w:ind w:left="680"/>
      </w:pPr>
      <w:r>
        <w:t>Name:</w:t>
      </w:r>
      <w:r>
        <w:tab/>
      </w:r>
      <w:r>
        <w:tab/>
      </w:r>
      <w:r>
        <w:tab/>
        <w:t>[●]</w:t>
      </w:r>
    </w:p>
    <w:p w14:paraId="1DDA35E8" w14:textId="77777777" w:rsidR="009748CA" w:rsidRDefault="009748CA" w:rsidP="0091400B">
      <w:pPr>
        <w:pStyle w:val="Schedule1"/>
        <w:numPr>
          <w:ilvl w:val="0"/>
          <w:numId w:val="0"/>
        </w:numPr>
        <w:ind w:left="680"/>
      </w:pPr>
      <w:r>
        <w:t>Address:</w:t>
      </w:r>
      <w:r>
        <w:tab/>
      </w:r>
      <w:r>
        <w:tab/>
        <w:t>[●]</w:t>
      </w:r>
    </w:p>
    <w:p w14:paraId="5752B7EF" w14:textId="77777777" w:rsidR="009748CA" w:rsidRDefault="009748CA" w:rsidP="0091400B">
      <w:pPr>
        <w:pStyle w:val="Schedule1"/>
        <w:numPr>
          <w:ilvl w:val="0"/>
          <w:numId w:val="0"/>
        </w:numPr>
        <w:ind w:left="680"/>
      </w:pPr>
      <w:r>
        <w:t>[Fax no:</w:t>
      </w:r>
      <w:r>
        <w:tab/>
      </w:r>
      <w:r>
        <w:tab/>
        <w:t>[●]]</w:t>
      </w:r>
    </w:p>
    <w:p w14:paraId="1B671D93" w14:textId="77777777" w:rsidR="009748CA" w:rsidRDefault="009748CA" w:rsidP="0091400B">
      <w:pPr>
        <w:pStyle w:val="Schedule1"/>
        <w:numPr>
          <w:ilvl w:val="0"/>
          <w:numId w:val="0"/>
        </w:numPr>
        <w:ind w:left="680"/>
      </w:pPr>
      <w:r>
        <w:t>[Email address:</w:t>
      </w:r>
      <w:r>
        <w:tab/>
        <w:t>[●]]</w:t>
      </w:r>
    </w:p>
    <w:p w14:paraId="5DE64A65" w14:textId="77777777" w:rsidR="009748CA" w:rsidRPr="0091400B" w:rsidRDefault="009748CA" w:rsidP="0091400B">
      <w:pPr>
        <w:pStyle w:val="Schedule1"/>
        <w:numPr>
          <w:ilvl w:val="0"/>
          <w:numId w:val="0"/>
        </w:numPr>
        <w:ind w:left="680"/>
        <w:rPr>
          <w:i/>
        </w:rPr>
      </w:pPr>
      <w:r w:rsidRPr="0091400B">
        <w:rPr>
          <w:i/>
        </w:rPr>
        <w:t>Other contact details:</w:t>
      </w:r>
    </w:p>
    <w:p w14:paraId="66C0F528" w14:textId="77777777" w:rsidR="009748CA" w:rsidRDefault="009748CA" w:rsidP="0091400B">
      <w:pPr>
        <w:pStyle w:val="Schedule1"/>
        <w:numPr>
          <w:ilvl w:val="0"/>
          <w:numId w:val="0"/>
        </w:numPr>
        <w:ind w:left="680"/>
      </w:pPr>
      <w:r>
        <w:t>Telephone no:</w:t>
      </w:r>
      <w:r>
        <w:tab/>
      </w:r>
      <w:r>
        <w:tab/>
        <w:t>[●]</w:t>
      </w:r>
    </w:p>
    <w:p w14:paraId="1389F206" w14:textId="7654B964" w:rsidR="009748CA" w:rsidRDefault="009748CA" w:rsidP="0091400B">
      <w:pPr>
        <w:pStyle w:val="Schedule1"/>
        <w:numPr>
          <w:ilvl w:val="0"/>
          <w:numId w:val="0"/>
        </w:numPr>
        <w:ind w:left="680"/>
      </w:pPr>
      <w:r>
        <w:t>Fax no:</w:t>
      </w:r>
      <w:r>
        <w:tab/>
      </w:r>
      <w:r w:rsidR="00EC3C99">
        <w:tab/>
      </w:r>
      <w:r w:rsidR="00EC3C99">
        <w:tab/>
      </w:r>
      <w:r>
        <w:t>[●]</w:t>
      </w:r>
    </w:p>
    <w:p w14:paraId="2E1698A3" w14:textId="77777777" w:rsidR="009748CA" w:rsidRPr="0091400B" w:rsidRDefault="009748CA" w:rsidP="0091400B">
      <w:pPr>
        <w:pStyle w:val="Schedule1"/>
        <w:numPr>
          <w:ilvl w:val="0"/>
          <w:numId w:val="0"/>
        </w:numPr>
        <w:ind w:left="680"/>
        <w:rPr>
          <w:b/>
          <w:bCs/>
          <w:i/>
          <w:iCs/>
        </w:rPr>
      </w:pPr>
      <w:r w:rsidRPr="0091400B">
        <w:rPr>
          <w:b/>
          <w:bCs/>
          <w:i/>
          <w:iCs/>
        </w:rPr>
        <w:t>The Client's Details</w:t>
      </w:r>
    </w:p>
    <w:p w14:paraId="33EA717E" w14:textId="495217E9" w:rsidR="009748CA" w:rsidRDefault="009748CA" w:rsidP="0091400B">
      <w:pPr>
        <w:pStyle w:val="Schedule1"/>
        <w:numPr>
          <w:ilvl w:val="0"/>
          <w:numId w:val="0"/>
        </w:numPr>
        <w:ind w:left="680"/>
      </w:pPr>
      <w:r>
        <w:t xml:space="preserve">For the purposes of clause </w:t>
      </w:r>
      <w:r w:rsidR="0091400B">
        <w:fldChar w:fldCharType="begin" w:fldLock="1"/>
      </w:r>
      <w:r w:rsidR="0091400B">
        <w:instrText xml:space="preserve"> REF _Ref133411410 \n \h </w:instrText>
      </w:r>
      <w:r w:rsidR="0091400B">
        <w:fldChar w:fldCharType="separate"/>
      </w:r>
      <w:r w:rsidR="009646BC">
        <w:t>27.2.1</w:t>
      </w:r>
      <w:r w:rsidR="0091400B">
        <w:fldChar w:fldCharType="end"/>
      </w:r>
      <w:r>
        <w:t xml:space="preserve"> (</w:t>
      </w:r>
      <w:r w:rsidRPr="0091400B">
        <w:rPr>
          <w:i/>
          <w:iCs/>
        </w:rPr>
        <w:t xml:space="preserve">notices other than those relating to close-out, termination or determinations of any </w:t>
      </w:r>
      <w:r w:rsidR="00940DE1">
        <w:rPr>
          <w:i/>
          <w:iCs/>
        </w:rPr>
        <w:t>Shortfall</w:t>
      </w:r>
      <w:r w:rsidR="005D021E">
        <w:rPr>
          <w:i/>
          <w:iCs/>
        </w:rPr>
        <w:t xml:space="preserve"> Amount</w:t>
      </w:r>
      <w:r>
        <w:t>):</w:t>
      </w:r>
    </w:p>
    <w:p w14:paraId="4410C52A" w14:textId="77777777" w:rsidR="009748CA" w:rsidRDefault="009748CA" w:rsidP="0091400B">
      <w:pPr>
        <w:pStyle w:val="Schedule1"/>
        <w:numPr>
          <w:ilvl w:val="0"/>
          <w:numId w:val="0"/>
        </w:numPr>
        <w:ind w:left="680"/>
      </w:pPr>
      <w:r>
        <w:lastRenderedPageBreak/>
        <w:t>Address:</w:t>
      </w:r>
      <w:r>
        <w:tab/>
      </w:r>
      <w:r>
        <w:tab/>
        <w:t>[●]</w:t>
      </w:r>
    </w:p>
    <w:p w14:paraId="5268C6A8" w14:textId="77777777" w:rsidR="009748CA" w:rsidRDefault="009748CA" w:rsidP="0091400B">
      <w:pPr>
        <w:pStyle w:val="Schedule1"/>
        <w:numPr>
          <w:ilvl w:val="0"/>
          <w:numId w:val="0"/>
        </w:numPr>
        <w:ind w:left="680"/>
      </w:pPr>
      <w:r>
        <w:t>Email address:</w:t>
      </w:r>
      <w:r>
        <w:tab/>
      </w:r>
      <w:r>
        <w:tab/>
        <w:t>[●]</w:t>
      </w:r>
    </w:p>
    <w:p w14:paraId="1899F22D" w14:textId="77777777" w:rsidR="009748CA" w:rsidRDefault="009748CA" w:rsidP="0091400B">
      <w:pPr>
        <w:pStyle w:val="Schedule1"/>
        <w:numPr>
          <w:ilvl w:val="0"/>
          <w:numId w:val="0"/>
        </w:numPr>
        <w:ind w:left="680"/>
      </w:pPr>
      <w:r>
        <w:t>Attention:</w:t>
      </w:r>
      <w:r>
        <w:tab/>
      </w:r>
      <w:r>
        <w:tab/>
        <w:t>[●]</w:t>
      </w:r>
    </w:p>
    <w:p w14:paraId="64EC6556" w14:textId="66A1F97F" w:rsidR="009748CA" w:rsidRDefault="009748CA" w:rsidP="0091400B">
      <w:pPr>
        <w:pStyle w:val="Schedule1"/>
        <w:numPr>
          <w:ilvl w:val="0"/>
          <w:numId w:val="0"/>
        </w:numPr>
        <w:ind w:left="680"/>
      </w:pPr>
      <w:r>
        <w:t xml:space="preserve">For the purposes of clause </w:t>
      </w:r>
      <w:r w:rsidR="0091400B">
        <w:fldChar w:fldCharType="begin" w:fldLock="1"/>
      </w:r>
      <w:r w:rsidR="0091400B">
        <w:instrText xml:space="preserve"> REF _Ref133411424 \n \h </w:instrText>
      </w:r>
      <w:r w:rsidR="0091400B">
        <w:fldChar w:fldCharType="separate"/>
      </w:r>
      <w:r w:rsidR="009646BC">
        <w:t>27.2.2</w:t>
      </w:r>
      <w:r w:rsidR="0091400B">
        <w:fldChar w:fldCharType="end"/>
      </w:r>
      <w:r w:rsidR="0091400B">
        <w:t xml:space="preserve"> </w:t>
      </w:r>
      <w:r>
        <w:t>(</w:t>
      </w:r>
      <w:r w:rsidRPr="0091400B">
        <w:rPr>
          <w:i/>
          <w:iCs/>
        </w:rPr>
        <w:t xml:space="preserve">notices relating to close-out, termination or determinations of any </w:t>
      </w:r>
      <w:r w:rsidR="00940DE1">
        <w:rPr>
          <w:i/>
          <w:iCs/>
        </w:rPr>
        <w:t>Shortfall</w:t>
      </w:r>
      <w:r w:rsidR="005D021E">
        <w:rPr>
          <w:i/>
          <w:iCs/>
        </w:rPr>
        <w:t xml:space="preserve"> Amount</w:t>
      </w:r>
      <w:r>
        <w:t>):</w:t>
      </w:r>
    </w:p>
    <w:p w14:paraId="5BF88EE6" w14:textId="77777777" w:rsidR="009748CA" w:rsidRDefault="009748CA" w:rsidP="0091400B">
      <w:pPr>
        <w:pStyle w:val="Schedule1"/>
        <w:numPr>
          <w:ilvl w:val="0"/>
          <w:numId w:val="0"/>
        </w:numPr>
        <w:ind w:left="680"/>
      </w:pPr>
      <w:r>
        <w:t>Name:</w:t>
      </w:r>
      <w:r>
        <w:tab/>
      </w:r>
      <w:r>
        <w:tab/>
      </w:r>
      <w:r>
        <w:tab/>
        <w:t>[●]</w:t>
      </w:r>
    </w:p>
    <w:p w14:paraId="698EF4A7" w14:textId="77777777" w:rsidR="009748CA" w:rsidRDefault="009748CA" w:rsidP="0091400B">
      <w:pPr>
        <w:pStyle w:val="Schedule1"/>
        <w:numPr>
          <w:ilvl w:val="0"/>
          <w:numId w:val="0"/>
        </w:numPr>
        <w:ind w:left="680"/>
      </w:pPr>
      <w:r>
        <w:t>Address:</w:t>
      </w:r>
      <w:r>
        <w:tab/>
      </w:r>
      <w:r>
        <w:tab/>
        <w:t>[●]</w:t>
      </w:r>
    </w:p>
    <w:p w14:paraId="2C4CA879" w14:textId="77777777" w:rsidR="009748CA" w:rsidRDefault="009748CA" w:rsidP="0091400B">
      <w:pPr>
        <w:pStyle w:val="Schedule1"/>
        <w:numPr>
          <w:ilvl w:val="0"/>
          <w:numId w:val="0"/>
        </w:numPr>
        <w:ind w:left="680"/>
      </w:pPr>
      <w:r>
        <w:t>[Fax no:</w:t>
      </w:r>
      <w:r>
        <w:tab/>
      </w:r>
      <w:r>
        <w:tab/>
        <w:t>[●]]</w:t>
      </w:r>
    </w:p>
    <w:p w14:paraId="13E802D3" w14:textId="77777777" w:rsidR="009748CA" w:rsidRDefault="009748CA" w:rsidP="0091400B">
      <w:pPr>
        <w:pStyle w:val="Schedule1"/>
        <w:numPr>
          <w:ilvl w:val="0"/>
          <w:numId w:val="0"/>
        </w:numPr>
        <w:ind w:left="680"/>
      </w:pPr>
      <w:r>
        <w:t>[Email address:</w:t>
      </w:r>
      <w:r>
        <w:tab/>
        <w:t>[●]]</w:t>
      </w:r>
    </w:p>
    <w:p w14:paraId="46C11C76" w14:textId="77777777" w:rsidR="009748CA" w:rsidRDefault="009748CA" w:rsidP="0091400B">
      <w:pPr>
        <w:pStyle w:val="Schedule1"/>
        <w:numPr>
          <w:ilvl w:val="0"/>
          <w:numId w:val="0"/>
        </w:numPr>
        <w:ind w:left="680"/>
      </w:pPr>
      <w:r>
        <w:t>Other contact details:</w:t>
      </w:r>
    </w:p>
    <w:p w14:paraId="796DC377" w14:textId="77777777" w:rsidR="009748CA" w:rsidRDefault="009748CA" w:rsidP="0091400B">
      <w:pPr>
        <w:pStyle w:val="Schedule1"/>
        <w:numPr>
          <w:ilvl w:val="0"/>
          <w:numId w:val="0"/>
        </w:numPr>
        <w:ind w:left="680"/>
      </w:pPr>
      <w:r>
        <w:t>Telephone no:</w:t>
      </w:r>
      <w:r>
        <w:tab/>
      </w:r>
      <w:r>
        <w:tab/>
        <w:t>[●]</w:t>
      </w:r>
    </w:p>
    <w:p w14:paraId="02F09BF4" w14:textId="04959245" w:rsidR="009748CA" w:rsidRDefault="009748CA" w:rsidP="0091400B">
      <w:pPr>
        <w:pStyle w:val="Schedule1"/>
        <w:numPr>
          <w:ilvl w:val="0"/>
          <w:numId w:val="0"/>
        </w:numPr>
        <w:ind w:left="680"/>
      </w:pPr>
      <w:r>
        <w:t>Fax no:</w:t>
      </w:r>
      <w:r>
        <w:tab/>
      </w:r>
      <w:r w:rsidR="00EC3C99">
        <w:tab/>
      </w:r>
      <w:r w:rsidR="00EC3C99">
        <w:tab/>
      </w:r>
      <w:r>
        <w:t>[●]</w:t>
      </w:r>
    </w:p>
    <w:p w14:paraId="639B8C85" w14:textId="727CAC94" w:rsidR="009748CA" w:rsidRPr="0091400B" w:rsidRDefault="009748CA" w:rsidP="00623726">
      <w:pPr>
        <w:pStyle w:val="Schedule1"/>
        <w:rPr>
          <w:b/>
          <w:bCs/>
          <w:i/>
          <w:iCs/>
        </w:rPr>
      </w:pPr>
      <w:r w:rsidRPr="0091400B">
        <w:rPr>
          <w:b/>
          <w:bCs/>
          <w:i/>
          <w:iCs/>
        </w:rPr>
        <w:t>Service of Process</w:t>
      </w:r>
    </w:p>
    <w:p w14:paraId="616AC2F4" w14:textId="77777777" w:rsidR="009748CA" w:rsidRDefault="009748CA" w:rsidP="0091400B">
      <w:pPr>
        <w:pStyle w:val="Schedule1"/>
        <w:numPr>
          <w:ilvl w:val="0"/>
          <w:numId w:val="0"/>
        </w:numPr>
        <w:ind w:left="680"/>
      </w:pPr>
      <w:r>
        <w:t>[Include details of the Parties' service of process agents or the address at which the Firm or Client can be given service of process in England and Wales, where required]</w:t>
      </w:r>
    </w:p>
    <w:p w14:paraId="57C5E60D" w14:textId="22B88049" w:rsidR="009748CA" w:rsidRDefault="009748CA" w:rsidP="0091400B">
      <w:pPr>
        <w:pStyle w:val="Schedule1"/>
        <w:numPr>
          <w:ilvl w:val="0"/>
          <w:numId w:val="0"/>
        </w:numPr>
        <w:ind w:left="680"/>
      </w:pPr>
      <w:r>
        <w:t xml:space="preserve">[The indemnity in clause </w:t>
      </w:r>
      <w:r w:rsidR="0091400B">
        <w:fldChar w:fldCharType="begin" w:fldLock="1"/>
      </w:r>
      <w:r w:rsidR="0091400B">
        <w:instrText xml:space="preserve"> REF _Ref133421904 \n \h </w:instrText>
      </w:r>
      <w:r w:rsidR="0091400B">
        <w:fldChar w:fldCharType="separate"/>
      </w:r>
      <w:r w:rsidR="009646BC">
        <w:t>21.6</w:t>
      </w:r>
      <w:r w:rsidR="0091400B">
        <w:fldChar w:fldCharType="end"/>
      </w:r>
      <w:r>
        <w:t xml:space="preserve"> (</w:t>
      </w:r>
      <w:r w:rsidRPr="0091400B">
        <w:rPr>
          <w:i/>
          <w:iCs/>
        </w:rPr>
        <w:t>Indemnity</w:t>
      </w:r>
      <w:r>
        <w:t>) shall be extended to cover any Losses which the Firm or its Associates may incur or be subjected to from time to time as a result of the failure of the Client to appoint or maintain an agent to accept service of process on its behalf in England and Wales.]</w:t>
      </w:r>
    </w:p>
    <w:p w14:paraId="5E1771A3" w14:textId="0CBBFCA2" w:rsidR="009748CA" w:rsidRPr="0091400B" w:rsidRDefault="009748CA" w:rsidP="00623726">
      <w:pPr>
        <w:pStyle w:val="Schedule1"/>
        <w:rPr>
          <w:b/>
          <w:bCs/>
          <w:i/>
          <w:iCs/>
        </w:rPr>
      </w:pPr>
      <w:r w:rsidRPr="0091400B">
        <w:rPr>
          <w:b/>
          <w:bCs/>
          <w:i/>
          <w:iCs/>
        </w:rPr>
        <w:t>Additional Representations</w:t>
      </w:r>
    </w:p>
    <w:p w14:paraId="446F7027" w14:textId="77777777" w:rsidR="009748CA" w:rsidRDefault="009748CA" w:rsidP="0091400B">
      <w:pPr>
        <w:pStyle w:val="Schedule1"/>
        <w:numPr>
          <w:ilvl w:val="0"/>
          <w:numId w:val="0"/>
        </w:numPr>
        <w:ind w:left="680"/>
      </w:pPr>
      <w:r>
        <w:t>[Not applicable]/[specify]</w:t>
      </w:r>
    </w:p>
    <w:p w14:paraId="022E5E44" w14:textId="1A69ACEF" w:rsidR="009748CA" w:rsidRPr="0091400B" w:rsidRDefault="009748CA" w:rsidP="00623726">
      <w:pPr>
        <w:pStyle w:val="Schedule1"/>
        <w:rPr>
          <w:b/>
          <w:bCs/>
          <w:i/>
          <w:iCs/>
        </w:rPr>
      </w:pPr>
      <w:r w:rsidRPr="0091400B">
        <w:rPr>
          <w:b/>
          <w:bCs/>
          <w:i/>
          <w:iCs/>
        </w:rPr>
        <w:t>Other Provisions</w:t>
      </w:r>
    </w:p>
    <w:p w14:paraId="47E2FEDD" w14:textId="77777777" w:rsidR="009748CA" w:rsidRDefault="009748CA" w:rsidP="0091400B">
      <w:pPr>
        <w:pStyle w:val="Schedule1"/>
        <w:numPr>
          <w:ilvl w:val="0"/>
          <w:numId w:val="0"/>
        </w:numPr>
        <w:ind w:left="680"/>
      </w:pPr>
      <w:r>
        <w:t>[Not applicable]/[specify]</w:t>
      </w:r>
    </w:p>
    <w:p w14:paraId="6A584BE9" w14:textId="445608C3" w:rsidR="009748CA" w:rsidRPr="0091400B" w:rsidRDefault="009748CA" w:rsidP="00623726">
      <w:pPr>
        <w:pStyle w:val="Schedule1"/>
        <w:rPr>
          <w:b/>
          <w:bCs/>
          <w:i/>
          <w:iCs/>
        </w:rPr>
      </w:pPr>
      <w:r w:rsidRPr="0091400B">
        <w:rPr>
          <w:b/>
          <w:bCs/>
          <w:i/>
          <w:iCs/>
        </w:rPr>
        <w:t>Weblinks to Applicable Policy Documents</w:t>
      </w:r>
    </w:p>
    <w:p w14:paraId="41425CD6" w14:textId="0B1949D8" w:rsidR="00A92A12" w:rsidRPr="00A92A12" w:rsidRDefault="009748CA" w:rsidP="0091400B">
      <w:pPr>
        <w:pStyle w:val="Schedule1"/>
        <w:numPr>
          <w:ilvl w:val="0"/>
          <w:numId w:val="0"/>
        </w:numPr>
        <w:ind w:left="680"/>
      </w:pPr>
      <w:r>
        <w:t>[specify]]</w:t>
      </w:r>
    </w:p>
    <w:p w14:paraId="5A2A8751" w14:textId="77777777" w:rsidR="00A92A12" w:rsidRPr="00A92A12" w:rsidRDefault="00A92A12" w:rsidP="00C01636">
      <w:pPr>
        <w:pStyle w:val="Body"/>
        <w:jc w:val="center"/>
      </w:pPr>
    </w:p>
    <w:p w14:paraId="064E8CB7" w14:textId="032BFB38" w:rsidR="0091400B" w:rsidRDefault="0091400B" w:rsidP="009C17EC">
      <w:pPr>
        <w:pStyle w:val="Level1"/>
        <w:numPr>
          <w:ilvl w:val="0"/>
          <w:numId w:val="0"/>
        </w:numPr>
        <w:ind w:left="680"/>
      </w:pPr>
      <w:r>
        <w:br w:type="page"/>
      </w:r>
    </w:p>
    <w:p w14:paraId="49515355" w14:textId="69F9B83E" w:rsidR="002225EA" w:rsidRPr="0091400B" w:rsidRDefault="0091400B" w:rsidP="0091400B">
      <w:pPr>
        <w:pStyle w:val="SchedApps"/>
      </w:pPr>
      <w:r w:rsidRPr="0091400B">
        <w:lastRenderedPageBreak/>
        <w:t>TABLE A – AGREED CCPS</w:t>
      </w:r>
    </w:p>
    <w:tbl>
      <w:tblPr>
        <w:tblStyle w:val="TableGrid"/>
        <w:tblW w:w="9924" w:type="dxa"/>
        <w:tblInd w:w="-318" w:type="dxa"/>
        <w:tblLayout w:type="fixed"/>
        <w:tblLook w:val="04A0" w:firstRow="1" w:lastRow="0" w:firstColumn="1" w:lastColumn="0" w:noHBand="0" w:noVBand="1"/>
      </w:tblPr>
      <w:tblGrid>
        <w:gridCol w:w="1984"/>
        <w:gridCol w:w="1985"/>
        <w:gridCol w:w="1985"/>
        <w:gridCol w:w="1985"/>
        <w:gridCol w:w="1985"/>
      </w:tblGrid>
      <w:tr w:rsidR="000D784A" w:rsidRPr="000D784A" w14:paraId="2D1B867A" w14:textId="77777777" w:rsidTr="000D784A">
        <w:tc>
          <w:tcPr>
            <w:tcW w:w="1984" w:type="dxa"/>
          </w:tcPr>
          <w:p w14:paraId="6AA1E896" w14:textId="60FAE1E9" w:rsidR="000D784A" w:rsidRPr="000D784A" w:rsidRDefault="00D621CC" w:rsidP="000D784A">
            <w:pPr>
              <w:pStyle w:val="Body1"/>
              <w:ind w:left="0"/>
              <w:rPr>
                <w:b/>
                <w:bCs/>
              </w:rPr>
            </w:pPr>
            <w:r>
              <w:rPr>
                <w:b/>
                <w:bCs/>
              </w:rPr>
              <w:t>“</w:t>
            </w:r>
            <w:r w:rsidR="000D784A" w:rsidRPr="000D784A">
              <w:rPr>
                <w:b/>
                <w:bCs/>
              </w:rPr>
              <w:t>Agreed CCP</w:t>
            </w:r>
            <w:r>
              <w:rPr>
                <w:b/>
                <w:bCs/>
              </w:rPr>
              <w:t>”</w:t>
            </w:r>
          </w:p>
        </w:tc>
        <w:tc>
          <w:tcPr>
            <w:tcW w:w="1985" w:type="dxa"/>
          </w:tcPr>
          <w:p w14:paraId="6064B488" w14:textId="0F51AC65" w:rsidR="000D784A" w:rsidRPr="000D784A" w:rsidRDefault="00D621CC" w:rsidP="000D784A">
            <w:pPr>
              <w:pStyle w:val="Body1"/>
              <w:ind w:left="0"/>
              <w:rPr>
                <w:b/>
                <w:bCs/>
              </w:rPr>
            </w:pPr>
            <w:r>
              <w:rPr>
                <w:b/>
                <w:bCs/>
              </w:rPr>
              <w:t>“</w:t>
            </w:r>
            <w:r w:rsidR="000D784A" w:rsidRPr="000D784A">
              <w:rPr>
                <w:b/>
                <w:bCs/>
              </w:rPr>
              <w:t>Agreed CCP Service</w:t>
            </w:r>
            <w:r>
              <w:rPr>
                <w:b/>
                <w:bCs/>
              </w:rPr>
              <w:t>”</w:t>
            </w:r>
          </w:p>
        </w:tc>
        <w:tc>
          <w:tcPr>
            <w:tcW w:w="1985" w:type="dxa"/>
          </w:tcPr>
          <w:p w14:paraId="3B80A74C" w14:textId="339B095E" w:rsidR="000D784A" w:rsidRPr="000D784A" w:rsidRDefault="000D784A" w:rsidP="000D784A">
            <w:pPr>
              <w:pStyle w:val="Body1"/>
              <w:ind w:left="0"/>
              <w:rPr>
                <w:b/>
                <w:bCs/>
              </w:rPr>
            </w:pPr>
            <w:r w:rsidRPr="000D784A">
              <w:rPr>
                <w:b/>
                <w:bCs/>
              </w:rPr>
              <w:t xml:space="preserve">Type of </w:t>
            </w:r>
            <w:r w:rsidR="003333CE">
              <w:rPr>
                <w:b/>
                <w:bCs/>
              </w:rPr>
              <w:t>Segregated</w:t>
            </w:r>
            <w:r w:rsidRPr="000D784A">
              <w:rPr>
                <w:b/>
                <w:bCs/>
              </w:rPr>
              <w:t xml:space="preserve"> Account and Custodian Details (if applicable)</w:t>
            </w:r>
          </w:p>
        </w:tc>
        <w:tc>
          <w:tcPr>
            <w:tcW w:w="1985" w:type="dxa"/>
          </w:tcPr>
          <w:p w14:paraId="519EE2C1" w14:textId="4632DA7F" w:rsidR="000D784A" w:rsidRPr="000D784A" w:rsidRDefault="000D784A" w:rsidP="000D784A">
            <w:pPr>
              <w:pStyle w:val="Body1"/>
              <w:ind w:left="0"/>
              <w:rPr>
                <w:b/>
                <w:bCs/>
              </w:rPr>
            </w:pPr>
            <w:r w:rsidRPr="000D784A">
              <w:rPr>
                <w:b/>
                <w:bCs/>
              </w:rPr>
              <w:t>Mandatory CCP Provisions</w:t>
            </w:r>
          </w:p>
        </w:tc>
        <w:tc>
          <w:tcPr>
            <w:tcW w:w="1985" w:type="dxa"/>
          </w:tcPr>
          <w:p w14:paraId="576DDF47" w14:textId="7EAA535B" w:rsidR="000D784A" w:rsidRPr="000D784A" w:rsidRDefault="000D784A" w:rsidP="000D784A">
            <w:pPr>
              <w:pStyle w:val="Body1"/>
              <w:ind w:left="0"/>
              <w:rPr>
                <w:b/>
                <w:bCs/>
              </w:rPr>
            </w:pPr>
            <w:r w:rsidRPr="000D784A">
              <w:rPr>
                <w:b/>
                <w:bCs/>
              </w:rPr>
              <w:t>Excess Margin Posting</w:t>
            </w:r>
          </w:p>
        </w:tc>
      </w:tr>
      <w:tr w:rsidR="000D784A" w14:paraId="2BAA68C6" w14:textId="77777777" w:rsidTr="000D784A">
        <w:tc>
          <w:tcPr>
            <w:tcW w:w="1984" w:type="dxa"/>
          </w:tcPr>
          <w:p w14:paraId="1402CE70" w14:textId="6C29D483" w:rsidR="000D784A" w:rsidRPr="000D784A" w:rsidRDefault="000D784A" w:rsidP="000D784A">
            <w:pPr>
              <w:pStyle w:val="Body1"/>
              <w:ind w:left="0"/>
              <w:rPr>
                <w:i/>
                <w:iCs/>
              </w:rPr>
            </w:pPr>
            <w:r w:rsidRPr="000D784A">
              <w:rPr>
                <w:i/>
                <w:iCs/>
              </w:rPr>
              <w:t>[Insert name of CCP]</w:t>
            </w:r>
          </w:p>
        </w:tc>
        <w:tc>
          <w:tcPr>
            <w:tcW w:w="1985" w:type="dxa"/>
          </w:tcPr>
          <w:p w14:paraId="4AB6698A" w14:textId="7090387B" w:rsidR="000D784A" w:rsidRPr="000D784A" w:rsidRDefault="000D784A" w:rsidP="000D784A">
            <w:pPr>
              <w:pStyle w:val="Body1"/>
              <w:ind w:left="0"/>
              <w:rPr>
                <w:i/>
                <w:iCs/>
              </w:rPr>
            </w:pPr>
            <w:r w:rsidRPr="000D784A">
              <w:rPr>
                <w:i/>
                <w:iCs/>
              </w:rPr>
              <w:t xml:space="preserve">[As a Cleared Transaction Set will comprise all Transactions relating to a particular Agreed CCP Service, </w:t>
            </w:r>
            <w:r w:rsidR="00D621CC">
              <w:rPr>
                <w:i/>
                <w:iCs/>
              </w:rPr>
              <w:t>“</w:t>
            </w:r>
            <w:r w:rsidRPr="000D784A">
              <w:rPr>
                <w:i/>
                <w:iCs/>
              </w:rPr>
              <w:t>Agreed CCP Service</w:t>
            </w:r>
            <w:r w:rsidR="00D621CC">
              <w:rPr>
                <w:i/>
                <w:iCs/>
              </w:rPr>
              <w:t>”</w:t>
            </w:r>
            <w:r w:rsidR="00D621CC" w:rsidRPr="000D784A">
              <w:rPr>
                <w:i/>
                <w:iCs/>
              </w:rPr>
              <w:t xml:space="preserve"> </w:t>
            </w:r>
            <w:r w:rsidRPr="000D784A">
              <w:rPr>
                <w:i/>
                <w:iCs/>
              </w:rPr>
              <w:t>as specified here should reflect the netting set resulting from the Rules of the Agreed CCP]</w:t>
            </w:r>
          </w:p>
        </w:tc>
        <w:tc>
          <w:tcPr>
            <w:tcW w:w="1985" w:type="dxa"/>
          </w:tcPr>
          <w:p w14:paraId="1ECB1FBD" w14:textId="65679D5C" w:rsidR="000D784A" w:rsidRPr="000D784A" w:rsidRDefault="000D784A" w:rsidP="00EA58A8">
            <w:pPr>
              <w:pStyle w:val="Body1"/>
              <w:ind w:left="0"/>
              <w:rPr>
                <w:i/>
                <w:iCs/>
              </w:rPr>
            </w:pPr>
            <w:r w:rsidRPr="000D784A">
              <w:rPr>
                <w:i/>
                <w:iCs/>
              </w:rPr>
              <w:t xml:space="preserve">[Individual </w:t>
            </w:r>
            <w:r w:rsidR="001B0C22">
              <w:rPr>
                <w:i/>
                <w:iCs/>
              </w:rPr>
              <w:t>Segregation</w:t>
            </w:r>
            <w:r w:rsidRPr="000D784A">
              <w:rPr>
                <w:i/>
                <w:iCs/>
              </w:rPr>
              <w:t xml:space="preserve"> Account/Omnibus </w:t>
            </w:r>
            <w:r w:rsidR="002B4113">
              <w:rPr>
                <w:i/>
                <w:iCs/>
              </w:rPr>
              <w:t>Segregation</w:t>
            </w:r>
            <w:r w:rsidRPr="000D784A">
              <w:rPr>
                <w:i/>
                <w:iCs/>
              </w:rPr>
              <w:t xml:space="preserve"> Account]</w:t>
            </w:r>
          </w:p>
        </w:tc>
        <w:tc>
          <w:tcPr>
            <w:tcW w:w="1985" w:type="dxa"/>
          </w:tcPr>
          <w:p w14:paraId="718D65AE" w14:textId="732607F4" w:rsidR="000D784A" w:rsidRPr="000D784A" w:rsidRDefault="000D784A" w:rsidP="000D784A">
            <w:pPr>
              <w:pStyle w:val="Body1"/>
              <w:ind w:left="0"/>
              <w:rPr>
                <w:i/>
                <w:iCs/>
              </w:rPr>
            </w:pPr>
            <w:r w:rsidRPr="000D784A">
              <w:rPr>
                <w:i/>
                <w:iCs/>
              </w:rPr>
              <w:t xml:space="preserve">[Optional – to set out any applicable Mandatory CCP Provisions (see clause </w:t>
            </w:r>
            <w:r w:rsidRPr="000D784A">
              <w:rPr>
                <w:i/>
                <w:iCs/>
              </w:rPr>
              <w:fldChar w:fldCharType="begin" w:fldLock="1"/>
            </w:r>
            <w:r w:rsidRPr="000D784A">
              <w:rPr>
                <w:i/>
                <w:iCs/>
              </w:rPr>
              <w:instrText xml:space="preserve"> REF _Ref133422165 \n \h </w:instrText>
            </w:r>
            <w:r>
              <w:rPr>
                <w:i/>
                <w:iCs/>
              </w:rPr>
              <w:instrText xml:space="preserve"> \* MERGEFORMAT </w:instrText>
            </w:r>
            <w:r w:rsidRPr="000D784A">
              <w:rPr>
                <w:i/>
                <w:iCs/>
              </w:rPr>
            </w:r>
            <w:r w:rsidRPr="000D784A">
              <w:rPr>
                <w:i/>
                <w:iCs/>
              </w:rPr>
              <w:fldChar w:fldCharType="separate"/>
            </w:r>
            <w:r w:rsidR="009646BC">
              <w:rPr>
                <w:i/>
                <w:iCs/>
              </w:rPr>
              <w:t>30.7</w:t>
            </w:r>
            <w:r w:rsidRPr="000D784A">
              <w:rPr>
                <w:i/>
                <w:iCs/>
              </w:rPr>
              <w:fldChar w:fldCharType="end"/>
            </w:r>
            <w:r w:rsidR="00A535D1">
              <w:rPr>
                <w:i/>
                <w:iCs/>
              </w:rPr>
              <w:t xml:space="preserve"> (Mandatory CCP Provisions)</w:t>
            </w:r>
            <w:r w:rsidRPr="000D784A">
              <w:rPr>
                <w:i/>
                <w:iCs/>
              </w:rPr>
              <w:t>)]</w:t>
            </w:r>
          </w:p>
        </w:tc>
        <w:tc>
          <w:tcPr>
            <w:tcW w:w="1985" w:type="dxa"/>
          </w:tcPr>
          <w:p w14:paraId="5882C41D" w14:textId="2FF3DDAE" w:rsidR="000D784A" w:rsidRPr="000D784A" w:rsidRDefault="000D784A" w:rsidP="000D784A">
            <w:pPr>
              <w:pStyle w:val="Body1"/>
              <w:ind w:left="0"/>
              <w:rPr>
                <w:i/>
                <w:iCs/>
              </w:rPr>
            </w:pPr>
            <w:r w:rsidRPr="000D784A">
              <w:rPr>
                <w:i/>
                <w:iCs/>
              </w:rPr>
              <w:t>[Optional – to set out agreement, if any, in relation to excess margin posting]</w:t>
            </w:r>
          </w:p>
        </w:tc>
      </w:tr>
    </w:tbl>
    <w:p w14:paraId="7B1A8A93" w14:textId="6C470D12" w:rsidR="000D784A" w:rsidRDefault="000D784A" w:rsidP="000D784A">
      <w:pPr>
        <w:pStyle w:val="Body1"/>
        <w:ind w:left="0"/>
      </w:pPr>
    </w:p>
    <w:p w14:paraId="7CCD64B2" w14:textId="604CD41A" w:rsidR="000D784A" w:rsidRDefault="000D784A" w:rsidP="000D784A">
      <w:pPr>
        <w:pStyle w:val="Body1"/>
        <w:ind w:left="0"/>
        <w:rPr>
          <w:b/>
          <w:bCs/>
          <w:i/>
          <w:iCs/>
        </w:rPr>
      </w:pPr>
    </w:p>
    <w:p w14:paraId="04D6BE44" w14:textId="77777777" w:rsidR="009B42DE" w:rsidRDefault="009B42DE" w:rsidP="000D784A">
      <w:pPr>
        <w:pStyle w:val="Body1"/>
        <w:ind w:left="0"/>
        <w:rPr>
          <w:b/>
          <w:bCs/>
          <w:i/>
          <w:iCs/>
        </w:rPr>
      </w:pPr>
      <w:r>
        <w:rPr>
          <w:b/>
          <w:bCs/>
          <w:i/>
          <w:iCs/>
        </w:rPr>
        <w:br w:type="page"/>
      </w:r>
    </w:p>
    <w:p w14:paraId="49F5A97A" w14:textId="0030067C" w:rsidR="009B42DE" w:rsidRDefault="009B42DE" w:rsidP="009B42DE">
      <w:pPr>
        <w:pStyle w:val="SchedApps"/>
      </w:pPr>
      <w:r>
        <w:lastRenderedPageBreak/>
        <w:t xml:space="preserve">EXECUTION SCHEDULE </w:t>
      </w:r>
    </w:p>
    <w:p w14:paraId="3BCB0F22" w14:textId="0C6ECB78" w:rsidR="009B42DE" w:rsidRPr="004D04D7" w:rsidRDefault="00755E8B" w:rsidP="004D04D7">
      <w:pPr>
        <w:pStyle w:val="UCAlpha1"/>
      </w:pPr>
      <w:r>
        <w:rPr>
          <w:b/>
          <w:bCs/>
        </w:rPr>
        <w:t>Client</w:t>
      </w:r>
    </w:p>
    <w:p w14:paraId="6654B671" w14:textId="69845E85" w:rsidR="009B42DE" w:rsidRPr="004D04D7" w:rsidRDefault="009B42DE" w:rsidP="004D04D7">
      <w:pPr>
        <w:pStyle w:val="Body1"/>
        <w:ind w:left="0"/>
      </w:pPr>
      <w:r w:rsidRPr="004D04D7">
        <w:t xml:space="preserve">The Client should address any further queries to the Firm as soon as possible. The Client should complete and sign this Schedule and return one signed copy to the Firm. </w:t>
      </w:r>
      <w:r w:rsidR="001B0628">
        <w:t>The Client</w:t>
      </w:r>
      <w:r w:rsidRPr="004D04D7">
        <w:t xml:space="preserve"> should arrange for this </w:t>
      </w:r>
      <w:r>
        <w:t xml:space="preserve">Client Clearing </w:t>
      </w:r>
      <w:r w:rsidRPr="004D04D7">
        <w:t xml:space="preserve">Agreement to be executed in accordance with applicable law. </w:t>
      </w:r>
    </w:p>
    <w:p w14:paraId="0E214409" w14:textId="1AC366B5" w:rsidR="009B42DE" w:rsidRPr="004D04D7" w:rsidRDefault="009B42DE" w:rsidP="004D04D7">
      <w:pPr>
        <w:pStyle w:val="Body1"/>
        <w:ind w:left="0"/>
      </w:pPr>
      <w:r w:rsidRPr="004D04D7">
        <w:t xml:space="preserve">The Client has read, understood and agrees to the clauses set out in this </w:t>
      </w:r>
      <w:r>
        <w:t xml:space="preserve">Client Clearing </w:t>
      </w:r>
      <w:r w:rsidRPr="004D04D7">
        <w:t xml:space="preserve">Agreement. As a representative of the Client, I confirm that I have full power and authority to enter into this </w:t>
      </w:r>
      <w:r>
        <w:t xml:space="preserve">Client Clearing </w:t>
      </w:r>
      <w:r w:rsidRPr="004D04D7">
        <w:t>Agreement.</w:t>
      </w:r>
    </w:p>
    <w:p w14:paraId="2D3BD86D" w14:textId="391A3AB7" w:rsidR="009B42DE" w:rsidRPr="004D04D7" w:rsidRDefault="009B42DE" w:rsidP="004D04D7">
      <w:pPr>
        <w:pStyle w:val="Body1"/>
        <w:ind w:left="0"/>
      </w:pPr>
      <w:r w:rsidRPr="004D04D7">
        <w:t>Executed for and on behalf of .........................................[</w:t>
      </w:r>
      <w:r w:rsidRPr="004D04D7">
        <w:rPr>
          <w:i/>
          <w:iCs/>
        </w:rPr>
        <w:t>name of</w:t>
      </w:r>
      <w:r>
        <w:rPr>
          <w:i/>
          <w:iCs/>
        </w:rPr>
        <w:t xml:space="preserve"> Clie</w:t>
      </w:r>
      <w:r w:rsidR="00755E8B">
        <w:rPr>
          <w:i/>
          <w:iCs/>
        </w:rPr>
        <w:t>n</w:t>
      </w:r>
      <w:r>
        <w:rPr>
          <w:i/>
          <w:iCs/>
        </w:rPr>
        <w:t>t</w:t>
      </w:r>
      <w:r w:rsidRPr="004D04D7">
        <w:t xml:space="preserve">] </w:t>
      </w:r>
    </w:p>
    <w:p w14:paraId="6BEA8830" w14:textId="0F49605C" w:rsidR="009B42DE" w:rsidRPr="004D04D7" w:rsidRDefault="009B42DE" w:rsidP="004D04D7">
      <w:pPr>
        <w:pStyle w:val="Body1"/>
        <w:spacing w:after="300"/>
        <w:ind w:left="0"/>
      </w:pPr>
      <w:r w:rsidRPr="004D04D7">
        <w:t xml:space="preserve">By: </w:t>
      </w:r>
      <w:r>
        <w:tab/>
      </w:r>
      <w:r>
        <w:tab/>
      </w:r>
      <w:r>
        <w:tab/>
      </w:r>
      <w:r>
        <w:tab/>
      </w:r>
      <w:r>
        <w:tab/>
      </w:r>
      <w:r>
        <w:tab/>
      </w:r>
      <w:r>
        <w:tab/>
      </w:r>
      <w:r>
        <w:tab/>
      </w:r>
      <w:r w:rsidRPr="00F63346">
        <w:t xml:space="preserve"> </w:t>
      </w:r>
    </w:p>
    <w:p w14:paraId="1F779B4A" w14:textId="525D63B5" w:rsidR="009B42DE" w:rsidRPr="004D04D7" w:rsidRDefault="009B42DE" w:rsidP="004D04D7">
      <w:pPr>
        <w:pStyle w:val="Body1"/>
        <w:spacing w:after="300"/>
        <w:ind w:left="0"/>
      </w:pPr>
      <w:r w:rsidRPr="004D04D7">
        <w:t>Signed:</w:t>
      </w:r>
      <w:r w:rsidRPr="004D04D7">
        <w:tab/>
        <w:t>………………………..</w:t>
      </w:r>
      <w:r>
        <w:tab/>
      </w:r>
      <w:r>
        <w:tab/>
      </w:r>
      <w:r>
        <w:tab/>
      </w:r>
      <w:r>
        <w:tab/>
      </w:r>
      <w:r>
        <w:tab/>
      </w:r>
      <w:r w:rsidRPr="00F63346">
        <w:t>Signed:</w:t>
      </w:r>
      <w:r w:rsidRPr="00F63346">
        <w:tab/>
        <w:t>………………………..</w:t>
      </w:r>
    </w:p>
    <w:p w14:paraId="4A8D377B" w14:textId="717486BC" w:rsidR="009B42DE" w:rsidRPr="004D04D7" w:rsidRDefault="009B42DE" w:rsidP="004D04D7">
      <w:pPr>
        <w:pStyle w:val="Body1"/>
        <w:spacing w:after="300"/>
        <w:ind w:left="0"/>
      </w:pPr>
      <w:r w:rsidRPr="004D04D7">
        <w:t>[</w:t>
      </w:r>
      <w:r w:rsidRPr="004D04D7">
        <w:rPr>
          <w:i/>
          <w:iCs/>
        </w:rPr>
        <w:t>name</w:t>
      </w:r>
      <w:r w:rsidRPr="004D04D7">
        <w:t>] ………………………..</w:t>
      </w:r>
      <w:r>
        <w:tab/>
      </w:r>
      <w:r>
        <w:tab/>
      </w:r>
      <w:r>
        <w:tab/>
      </w:r>
      <w:r>
        <w:tab/>
      </w:r>
      <w:r>
        <w:tab/>
      </w:r>
      <w:r w:rsidRPr="00F63346">
        <w:t>[</w:t>
      </w:r>
      <w:r w:rsidRPr="00F63346">
        <w:rPr>
          <w:i/>
          <w:iCs/>
        </w:rPr>
        <w:t>name</w:t>
      </w:r>
      <w:r w:rsidRPr="00F63346">
        <w:t>] ………………………..</w:t>
      </w:r>
    </w:p>
    <w:p w14:paraId="4D9A8FA1" w14:textId="3BD76896" w:rsidR="009B42DE" w:rsidRDefault="009B42DE" w:rsidP="004D04D7">
      <w:pPr>
        <w:pStyle w:val="Body1"/>
        <w:spacing w:after="300"/>
        <w:ind w:left="0"/>
      </w:pPr>
      <w:r w:rsidRPr="004D04D7">
        <w:t>[</w:t>
      </w:r>
      <w:r w:rsidRPr="004D04D7">
        <w:rPr>
          <w:i/>
          <w:iCs/>
        </w:rPr>
        <w:t>title</w:t>
      </w:r>
      <w:r w:rsidRPr="004D04D7">
        <w:t xml:space="preserve">] </w:t>
      </w:r>
      <w:r w:rsidRPr="004D04D7">
        <w:tab/>
        <w:t>………………………..</w:t>
      </w:r>
      <w:r w:rsidRPr="004D04D7">
        <w:tab/>
      </w:r>
      <w:r>
        <w:tab/>
      </w:r>
      <w:r>
        <w:tab/>
      </w:r>
      <w:r>
        <w:tab/>
      </w:r>
      <w:r>
        <w:tab/>
      </w:r>
      <w:r w:rsidRPr="00F63346">
        <w:t>[</w:t>
      </w:r>
      <w:r w:rsidRPr="00F63346">
        <w:rPr>
          <w:i/>
          <w:iCs/>
        </w:rPr>
        <w:t>title</w:t>
      </w:r>
      <w:r w:rsidRPr="00F63346">
        <w:t xml:space="preserve">] </w:t>
      </w:r>
      <w:r w:rsidRPr="00F63346">
        <w:tab/>
        <w:t>………………………..</w:t>
      </w:r>
      <w:r w:rsidRPr="00F63346">
        <w:tab/>
      </w:r>
    </w:p>
    <w:p w14:paraId="49BECF62" w14:textId="6C748837" w:rsidR="009B42DE" w:rsidRPr="004D04D7" w:rsidRDefault="009B42DE" w:rsidP="004D04D7">
      <w:pPr>
        <w:pStyle w:val="Body1"/>
        <w:ind w:left="0"/>
      </w:pPr>
      <w:r w:rsidRPr="004D04D7">
        <w:t>In the presence of:</w:t>
      </w:r>
    </w:p>
    <w:p w14:paraId="3826B3F9" w14:textId="77777777" w:rsidR="009B42DE" w:rsidRDefault="009B42DE" w:rsidP="004D04D7">
      <w:pPr>
        <w:pStyle w:val="Body1"/>
        <w:spacing w:after="480"/>
        <w:ind w:left="0"/>
      </w:pPr>
      <w:r w:rsidRPr="004D04D7">
        <w:t>[</w:t>
      </w:r>
      <w:r w:rsidRPr="004D04D7">
        <w:rPr>
          <w:i/>
          <w:iCs/>
        </w:rPr>
        <w:t>Include details of witness where required</w:t>
      </w:r>
      <w:r w:rsidRPr="004D04D7">
        <w:t>]</w:t>
      </w:r>
    </w:p>
    <w:p w14:paraId="654B6424" w14:textId="64D4265F" w:rsidR="00755E8B" w:rsidRPr="004D04D7" w:rsidRDefault="00755E8B" w:rsidP="00755E8B">
      <w:pPr>
        <w:pStyle w:val="UCAlpha1"/>
      </w:pPr>
      <w:r>
        <w:rPr>
          <w:b/>
          <w:bCs/>
        </w:rPr>
        <w:t>Firm</w:t>
      </w:r>
    </w:p>
    <w:p w14:paraId="37BC896E" w14:textId="3F3FDA13" w:rsidR="00755E8B" w:rsidRDefault="00755E8B" w:rsidP="00755E8B">
      <w:pPr>
        <w:pStyle w:val="UCAlpha1"/>
        <w:numPr>
          <w:ilvl w:val="0"/>
          <w:numId w:val="0"/>
        </w:numPr>
      </w:pPr>
      <w:r>
        <w:t xml:space="preserve">The Firm has read, understood and agrees to the clauses set out in this Client Clearing Agreement. As a representative of the Firm, I confirm that I have full power and authority to enter into this Client Clearing Agreement. </w:t>
      </w:r>
    </w:p>
    <w:p w14:paraId="000E47CB" w14:textId="5FA63EB7" w:rsidR="00755E8B" w:rsidRPr="00F63346" w:rsidRDefault="00755E8B" w:rsidP="00755E8B">
      <w:pPr>
        <w:pStyle w:val="Body1"/>
        <w:ind w:left="0"/>
      </w:pPr>
      <w:r w:rsidRPr="00F63346">
        <w:t>Executed for and on behalf of .........................................[</w:t>
      </w:r>
      <w:r w:rsidRPr="00F63346">
        <w:rPr>
          <w:i/>
          <w:iCs/>
        </w:rPr>
        <w:t>name of</w:t>
      </w:r>
      <w:r>
        <w:rPr>
          <w:i/>
          <w:iCs/>
        </w:rPr>
        <w:t xml:space="preserve"> Firm</w:t>
      </w:r>
      <w:r w:rsidRPr="00F63346">
        <w:t xml:space="preserve">] </w:t>
      </w:r>
    </w:p>
    <w:p w14:paraId="3EE4F66F" w14:textId="77777777" w:rsidR="00755E8B" w:rsidRPr="00F63346" w:rsidRDefault="00755E8B" w:rsidP="00755E8B">
      <w:pPr>
        <w:pStyle w:val="Body1"/>
        <w:spacing w:after="300"/>
        <w:ind w:left="0"/>
      </w:pPr>
      <w:r w:rsidRPr="00F63346">
        <w:t xml:space="preserve">By: </w:t>
      </w:r>
      <w:r>
        <w:tab/>
      </w:r>
      <w:r>
        <w:tab/>
      </w:r>
      <w:r>
        <w:tab/>
      </w:r>
      <w:r>
        <w:tab/>
      </w:r>
      <w:r>
        <w:tab/>
      </w:r>
      <w:r>
        <w:tab/>
      </w:r>
      <w:r>
        <w:tab/>
      </w:r>
      <w:r>
        <w:tab/>
      </w:r>
      <w:r w:rsidRPr="00F63346">
        <w:t xml:space="preserve"> </w:t>
      </w:r>
    </w:p>
    <w:p w14:paraId="70CEE94C" w14:textId="77777777" w:rsidR="00755E8B" w:rsidRPr="00F63346" w:rsidRDefault="00755E8B" w:rsidP="00755E8B">
      <w:pPr>
        <w:pStyle w:val="Body1"/>
        <w:spacing w:after="300"/>
        <w:ind w:left="0"/>
      </w:pPr>
      <w:r w:rsidRPr="00F63346">
        <w:t>Signed:</w:t>
      </w:r>
      <w:r w:rsidRPr="00F63346">
        <w:tab/>
        <w:t>………………………..</w:t>
      </w:r>
      <w:r>
        <w:tab/>
      </w:r>
      <w:r>
        <w:tab/>
      </w:r>
      <w:r>
        <w:tab/>
      </w:r>
      <w:r>
        <w:tab/>
      </w:r>
      <w:r>
        <w:tab/>
      </w:r>
      <w:r w:rsidRPr="00F63346">
        <w:t>Signed:</w:t>
      </w:r>
      <w:r w:rsidRPr="00F63346">
        <w:tab/>
        <w:t>………………………..</w:t>
      </w:r>
    </w:p>
    <w:p w14:paraId="4CD90271" w14:textId="77777777" w:rsidR="00755E8B" w:rsidRPr="00F63346" w:rsidRDefault="00755E8B" w:rsidP="00755E8B">
      <w:pPr>
        <w:pStyle w:val="Body1"/>
        <w:spacing w:after="300"/>
        <w:ind w:left="0"/>
      </w:pPr>
      <w:r w:rsidRPr="00F63346">
        <w:t>[</w:t>
      </w:r>
      <w:r w:rsidRPr="00F63346">
        <w:rPr>
          <w:i/>
          <w:iCs/>
        </w:rPr>
        <w:t>name</w:t>
      </w:r>
      <w:r w:rsidRPr="00F63346">
        <w:t>] ………………………..</w:t>
      </w:r>
      <w:r>
        <w:tab/>
      </w:r>
      <w:r>
        <w:tab/>
      </w:r>
      <w:r>
        <w:tab/>
      </w:r>
      <w:r>
        <w:tab/>
      </w:r>
      <w:r>
        <w:tab/>
      </w:r>
      <w:r w:rsidRPr="00F63346">
        <w:t>[</w:t>
      </w:r>
      <w:r w:rsidRPr="00F63346">
        <w:rPr>
          <w:i/>
          <w:iCs/>
        </w:rPr>
        <w:t>name</w:t>
      </w:r>
      <w:r w:rsidRPr="00F63346">
        <w:t>] ………………………..</w:t>
      </w:r>
    </w:p>
    <w:p w14:paraId="3C3F9061" w14:textId="77777777" w:rsidR="00755E8B" w:rsidRDefault="00755E8B" w:rsidP="00755E8B">
      <w:pPr>
        <w:pStyle w:val="Body1"/>
        <w:spacing w:after="300"/>
        <w:ind w:left="0"/>
      </w:pPr>
      <w:r w:rsidRPr="00F63346">
        <w:t>[</w:t>
      </w:r>
      <w:r w:rsidRPr="00F63346">
        <w:rPr>
          <w:i/>
          <w:iCs/>
        </w:rPr>
        <w:t>title</w:t>
      </w:r>
      <w:r w:rsidRPr="00F63346">
        <w:t xml:space="preserve">] </w:t>
      </w:r>
      <w:r w:rsidRPr="00F63346">
        <w:tab/>
        <w:t>………………………..</w:t>
      </w:r>
      <w:r w:rsidRPr="00F63346">
        <w:tab/>
      </w:r>
      <w:r>
        <w:tab/>
      </w:r>
      <w:r>
        <w:tab/>
      </w:r>
      <w:r>
        <w:tab/>
      </w:r>
      <w:r>
        <w:tab/>
      </w:r>
      <w:r w:rsidRPr="00F63346">
        <w:t>[</w:t>
      </w:r>
      <w:r w:rsidRPr="00F63346">
        <w:rPr>
          <w:i/>
          <w:iCs/>
        </w:rPr>
        <w:t>title</w:t>
      </w:r>
      <w:r w:rsidRPr="00F63346">
        <w:t xml:space="preserve">] </w:t>
      </w:r>
      <w:r w:rsidRPr="00F63346">
        <w:tab/>
        <w:t>………………………..</w:t>
      </w:r>
      <w:r w:rsidRPr="00F63346">
        <w:tab/>
      </w:r>
    </w:p>
    <w:p w14:paraId="6D929F38" w14:textId="77777777" w:rsidR="00755E8B" w:rsidRPr="00F63346" w:rsidRDefault="00755E8B" w:rsidP="00755E8B">
      <w:pPr>
        <w:pStyle w:val="Body1"/>
        <w:ind w:left="0"/>
      </w:pPr>
      <w:r w:rsidRPr="00F63346">
        <w:t>In the presence of:</w:t>
      </w:r>
    </w:p>
    <w:p w14:paraId="2CF31A36" w14:textId="77777777" w:rsidR="00755E8B" w:rsidRDefault="00755E8B" w:rsidP="00755E8B">
      <w:pPr>
        <w:pStyle w:val="Body1"/>
        <w:spacing w:after="300"/>
        <w:ind w:left="0"/>
      </w:pPr>
      <w:r w:rsidRPr="00F63346">
        <w:t>[</w:t>
      </w:r>
      <w:r w:rsidRPr="00F63346">
        <w:rPr>
          <w:i/>
          <w:iCs/>
        </w:rPr>
        <w:t>Include details of witness where required</w:t>
      </w:r>
      <w:r w:rsidRPr="00F63346">
        <w:t>]</w:t>
      </w:r>
    </w:p>
    <w:p w14:paraId="259830F4" w14:textId="039B509F" w:rsidR="009B42DE" w:rsidRPr="004D04D7" w:rsidRDefault="009B42DE" w:rsidP="004D04D7">
      <w:pPr>
        <w:pStyle w:val="Body1"/>
        <w:ind w:left="0"/>
      </w:pPr>
    </w:p>
    <w:p w14:paraId="7F668D40" w14:textId="30D141E2" w:rsidR="009B42DE" w:rsidRPr="004D04D7" w:rsidRDefault="009B42DE" w:rsidP="009B42DE">
      <w:pPr>
        <w:pStyle w:val="Body1"/>
        <w:jc w:val="center"/>
      </w:pPr>
    </w:p>
    <w:p w14:paraId="39FB3C7A" w14:textId="31D84B41" w:rsidR="001804BA" w:rsidRDefault="001804BA" w:rsidP="004D04D7">
      <w:pPr>
        <w:pStyle w:val="Body1"/>
        <w:jc w:val="center"/>
        <w:rPr>
          <w:b/>
          <w:bCs/>
          <w:i/>
          <w:iCs/>
        </w:rPr>
      </w:pPr>
      <w:r>
        <w:rPr>
          <w:b/>
          <w:bCs/>
          <w:i/>
          <w:iCs/>
        </w:rPr>
        <w:br w:type="page"/>
      </w:r>
    </w:p>
    <w:p w14:paraId="345E6D08" w14:textId="77777777" w:rsidR="001804BA" w:rsidRDefault="001804BA" w:rsidP="001804BA">
      <w:pPr>
        <w:pStyle w:val="SchedApps"/>
      </w:pPr>
      <w:r>
        <w:lastRenderedPageBreak/>
        <w:t xml:space="preserve">SCHEDULE 1 </w:t>
      </w:r>
    </w:p>
    <w:p w14:paraId="2589A692" w14:textId="521808BD" w:rsidR="001804BA" w:rsidRDefault="00993ACC" w:rsidP="00917FBB">
      <w:pPr>
        <w:pStyle w:val="Body"/>
        <w:jc w:val="center"/>
        <w:rPr>
          <w:b/>
          <w:bCs/>
        </w:rPr>
      </w:pPr>
      <w:r w:rsidRPr="00A52E0E">
        <w:rPr>
          <w:b/>
          <w:bCs/>
        </w:rPr>
        <w:t>SEGREGATED ASSET</w:t>
      </w:r>
      <w:r w:rsidR="00094A99" w:rsidRPr="00A52E0E">
        <w:rPr>
          <w:b/>
          <w:bCs/>
        </w:rPr>
        <w:t xml:space="preserve"> TERMS</w:t>
      </w:r>
    </w:p>
    <w:p w14:paraId="78BACE6D" w14:textId="5DAFCA6F" w:rsidR="00917FBB" w:rsidRPr="00917FBB" w:rsidRDefault="00917FBB" w:rsidP="00A52E0E">
      <w:pPr>
        <w:pStyle w:val="Body"/>
        <w:jc w:val="left"/>
      </w:pPr>
      <w:r w:rsidRPr="00A52E0E">
        <w:t xml:space="preserve">For the purposes of each </w:t>
      </w:r>
      <w:r w:rsidR="00272180">
        <w:t>EATM</w:t>
      </w:r>
      <w:r w:rsidRPr="00A52E0E">
        <w:t xml:space="preserve"> Client’s </w:t>
      </w:r>
      <w:r w:rsidR="00272180">
        <w:t>EATM</w:t>
      </w:r>
      <w:r w:rsidRPr="00A52E0E">
        <w:t xml:space="preserve"> Agreement these terms will be the “</w:t>
      </w:r>
      <w:r w:rsidR="00272180">
        <w:t>EATM</w:t>
      </w:r>
      <w:r w:rsidRPr="00A52E0E">
        <w:t xml:space="preserve"> Segregated Asset Terms”.</w:t>
      </w:r>
    </w:p>
    <w:p w14:paraId="68235315" w14:textId="158BDF08" w:rsidR="001804BA" w:rsidRDefault="00DD6860" w:rsidP="00BE157C">
      <w:pPr>
        <w:pStyle w:val="Schedule1"/>
        <w:numPr>
          <w:ilvl w:val="0"/>
          <w:numId w:val="66"/>
        </w:numPr>
        <w:rPr>
          <w:b/>
          <w:bCs/>
        </w:rPr>
      </w:pPr>
      <w:bookmarkStart w:id="163" w:name="_Ref151718857"/>
      <w:r>
        <w:rPr>
          <w:b/>
          <w:bCs/>
        </w:rPr>
        <w:t>Segregated Assets</w:t>
      </w:r>
      <w:r w:rsidR="006142E9">
        <w:rPr>
          <w:b/>
          <w:bCs/>
        </w:rPr>
        <w:t xml:space="preserve"> Arrangement</w:t>
      </w:r>
      <w:bookmarkEnd w:id="163"/>
      <w:r w:rsidR="001804BA" w:rsidRPr="00C01636">
        <w:rPr>
          <w:b/>
          <w:bCs/>
        </w:rPr>
        <w:t xml:space="preserve"> </w:t>
      </w:r>
    </w:p>
    <w:p w14:paraId="6FA4D0E8" w14:textId="3CB24477" w:rsidR="00E46D8F" w:rsidRDefault="007B3052" w:rsidP="007B6C2A">
      <w:pPr>
        <w:pStyle w:val="Schedule2"/>
      </w:pPr>
      <w:bookmarkStart w:id="164" w:name="_Ref177640113"/>
      <w:r>
        <w:rPr>
          <w:b/>
          <w:bCs/>
          <w:i/>
          <w:iCs/>
        </w:rPr>
        <w:t>Trust relationship:</w:t>
      </w:r>
      <w:r>
        <w:t xml:space="preserve"> The Firm </w:t>
      </w:r>
      <w:r w:rsidR="00652643">
        <w:t xml:space="preserve">shall hold </w:t>
      </w:r>
      <w:r>
        <w:t xml:space="preserve">the Segregated Assets on a single bare trust for </w:t>
      </w:r>
      <w:r w:rsidR="006A78ED">
        <w:t xml:space="preserve">itself and </w:t>
      </w:r>
      <w:r>
        <w:t xml:space="preserve">the </w:t>
      </w:r>
      <w:r w:rsidR="00272180">
        <w:t>EATM</w:t>
      </w:r>
      <w:r>
        <w:t xml:space="preserve"> Clients</w:t>
      </w:r>
      <w:r w:rsidR="006A78ED">
        <w:t xml:space="preserve"> (together the “</w:t>
      </w:r>
      <w:r w:rsidR="00272180">
        <w:rPr>
          <w:b/>
          <w:bCs/>
        </w:rPr>
        <w:t>EATM</w:t>
      </w:r>
      <w:r w:rsidR="00F73482">
        <w:rPr>
          <w:b/>
          <w:bCs/>
        </w:rPr>
        <w:t xml:space="preserve"> </w:t>
      </w:r>
      <w:r w:rsidR="006A78ED">
        <w:rPr>
          <w:b/>
          <w:bCs/>
        </w:rPr>
        <w:t>Beneficiaries</w:t>
      </w:r>
      <w:r w:rsidR="006A78ED">
        <w:t>”)</w:t>
      </w:r>
      <w:r>
        <w:t>, as sole beneficiaries of that trust, and which together</w:t>
      </w:r>
      <w:r w:rsidR="00652643">
        <w:t>,</w:t>
      </w:r>
      <w:r>
        <w:t xml:space="preserve"> </w:t>
      </w:r>
      <w:r w:rsidR="00652643">
        <w:t xml:space="preserve">if more than one, </w:t>
      </w:r>
      <w:r>
        <w:t>have</w:t>
      </w:r>
      <w:r w:rsidR="00A24948">
        <w:t xml:space="preserve">, as tenants in common, </w:t>
      </w:r>
      <w:r>
        <w:t xml:space="preserve">a shared absolute beneficial interest in the Segregated Assets, in accordance with, and subject to, the terms set out in </w:t>
      </w:r>
      <w:r w:rsidR="00BF2371">
        <w:t>these Terms</w:t>
      </w:r>
      <w:r>
        <w:t>.</w:t>
      </w:r>
      <w:r w:rsidR="003B4AD0">
        <w:t xml:space="preserve"> </w:t>
      </w:r>
      <w:r w:rsidR="003B4AD0" w:rsidRPr="003B4AD0">
        <w:t xml:space="preserve">Each </w:t>
      </w:r>
      <w:r w:rsidR="00272180">
        <w:t>EATM</w:t>
      </w:r>
      <w:r w:rsidR="003B4AD0">
        <w:t xml:space="preserve"> </w:t>
      </w:r>
      <w:r w:rsidR="006A78ED">
        <w:t>Beneficiary</w:t>
      </w:r>
      <w:r w:rsidR="003B4AD0" w:rsidRPr="003B4AD0">
        <w:t xml:space="preserve"> agrees that these Terms apply to all </w:t>
      </w:r>
      <w:r w:rsidR="00272180">
        <w:t>EATM</w:t>
      </w:r>
      <w:r w:rsidR="003B4AD0">
        <w:t xml:space="preserve"> </w:t>
      </w:r>
      <w:r w:rsidR="006A78ED">
        <w:t>Beneficiaries</w:t>
      </w:r>
      <w:r w:rsidR="003B4AD0" w:rsidRPr="003B4AD0">
        <w:t xml:space="preserve"> to give rise to a single bare trust.</w:t>
      </w:r>
      <w:bookmarkEnd w:id="164"/>
      <w:r>
        <w:t xml:space="preserve"> </w:t>
      </w:r>
    </w:p>
    <w:p w14:paraId="09ABA3C2" w14:textId="4A42D1ED" w:rsidR="007B3052" w:rsidRDefault="007B3052" w:rsidP="007B6C2A">
      <w:pPr>
        <w:pStyle w:val="Schedule2"/>
      </w:pPr>
      <w:bookmarkStart w:id="165" w:name="_Ref170900129"/>
      <w:r>
        <w:rPr>
          <w:b/>
          <w:bCs/>
          <w:i/>
          <w:iCs/>
        </w:rPr>
        <w:t xml:space="preserve">Entitlements of </w:t>
      </w:r>
      <w:r w:rsidR="00272180">
        <w:rPr>
          <w:b/>
          <w:bCs/>
          <w:i/>
          <w:iCs/>
        </w:rPr>
        <w:t>EATM</w:t>
      </w:r>
      <w:r>
        <w:rPr>
          <w:b/>
          <w:bCs/>
          <w:i/>
          <w:iCs/>
        </w:rPr>
        <w:t xml:space="preserve"> </w:t>
      </w:r>
      <w:r w:rsidR="006A78ED">
        <w:rPr>
          <w:b/>
          <w:bCs/>
          <w:i/>
          <w:iCs/>
        </w:rPr>
        <w:t>Beneficiaries</w:t>
      </w:r>
      <w:r>
        <w:t xml:space="preserve">: The share, at any time, of each </w:t>
      </w:r>
      <w:r w:rsidR="00272180">
        <w:t>EATM</w:t>
      </w:r>
      <w:r>
        <w:t xml:space="preserve"> </w:t>
      </w:r>
      <w:r w:rsidR="009143B8">
        <w:t>Beneficiary</w:t>
      </w:r>
      <w:r>
        <w:t xml:space="preserve"> of the beneficial interest in the Segregated Assets is determined </w:t>
      </w:r>
      <w:r w:rsidR="00053F5A">
        <w:t xml:space="preserve">by reference to the </w:t>
      </w:r>
      <w:r w:rsidR="00F53854">
        <w:t xml:space="preserve">entries in the </w:t>
      </w:r>
      <w:r w:rsidR="00053F5A">
        <w:t xml:space="preserve">books and records of the Firm </w:t>
      </w:r>
      <w:r w:rsidR="00F53854">
        <w:t xml:space="preserve">in respect of each </w:t>
      </w:r>
      <w:r w:rsidR="00272180">
        <w:t>EATM</w:t>
      </w:r>
      <w:r w:rsidR="00F53854" w:rsidRPr="00F53854">
        <w:t xml:space="preserve"> </w:t>
      </w:r>
      <w:r w:rsidR="00B350EE">
        <w:t>Beneficiary</w:t>
      </w:r>
      <w:r w:rsidR="00F53854" w:rsidRPr="00F53854">
        <w:t xml:space="preserve"> </w:t>
      </w:r>
      <w:r w:rsidR="00053F5A">
        <w:t xml:space="preserve">and </w:t>
      </w:r>
      <w:r>
        <w:t xml:space="preserve">in accordance with paragraphs </w:t>
      </w:r>
      <w:r w:rsidR="005D36DE">
        <w:fldChar w:fldCharType="begin" w:fldLock="1"/>
      </w:r>
      <w:r w:rsidR="005D36DE">
        <w:instrText xml:space="preserve"> REF _Ref161349992 \r \h </w:instrText>
      </w:r>
      <w:r w:rsidR="005D36DE">
        <w:fldChar w:fldCharType="separate"/>
      </w:r>
      <w:r w:rsidR="009646BC">
        <w:t>1.3</w:t>
      </w:r>
      <w:r w:rsidR="005D36DE">
        <w:fldChar w:fldCharType="end"/>
      </w:r>
      <w:r w:rsidR="00513E8C">
        <w:t xml:space="preserve"> (</w:t>
      </w:r>
      <w:r w:rsidR="00513E8C">
        <w:rPr>
          <w:i/>
          <w:iCs/>
        </w:rPr>
        <w:t>Individual Segregation Accounts</w:t>
      </w:r>
      <w:r w:rsidR="00513E8C">
        <w:t>)</w:t>
      </w:r>
      <w:r w:rsidR="00A535D1">
        <w:t xml:space="preserve"> and</w:t>
      </w:r>
      <w:r w:rsidR="00B350EE">
        <w:t xml:space="preserve"> </w:t>
      </w:r>
      <w:r w:rsidR="005D36DE">
        <w:fldChar w:fldCharType="begin" w:fldLock="1"/>
      </w:r>
      <w:r w:rsidR="005D36DE">
        <w:instrText xml:space="preserve"> REF _Ref161349997 \r \h </w:instrText>
      </w:r>
      <w:r w:rsidR="005D36DE">
        <w:fldChar w:fldCharType="separate"/>
      </w:r>
      <w:r w:rsidR="009646BC">
        <w:t>1.4</w:t>
      </w:r>
      <w:r w:rsidR="005D36DE">
        <w:fldChar w:fldCharType="end"/>
      </w:r>
      <w:r>
        <w:t xml:space="preserve"> </w:t>
      </w:r>
      <w:r w:rsidR="00513E8C">
        <w:t>(</w:t>
      </w:r>
      <w:r w:rsidR="00513E8C">
        <w:rPr>
          <w:i/>
          <w:iCs/>
        </w:rPr>
        <w:t>Omnibus Segregation Accounts</w:t>
      </w:r>
      <w:r w:rsidR="001E7A8B">
        <w:t>)</w:t>
      </w:r>
      <w:r w:rsidR="0094626A">
        <w:rPr>
          <w:i/>
          <w:iCs/>
        </w:rPr>
        <w:t xml:space="preserve"> </w:t>
      </w:r>
      <w:r w:rsidRPr="00B350EE">
        <w:t>of</w:t>
      </w:r>
      <w:r>
        <w:t xml:space="preserve"> </w:t>
      </w:r>
      <w:r w:rsidR="00BF2371">
        <w:t>these Terms</w:t>
      </w:r>
      <w:r>
        <w:t>.</w:t>
      </w:r>
      <w:bookmarkEnd w:id="165"/>
      <w:r>
        <w:t xml:space="preserve"> </w:t>
      </w:r>
    </w:p>
    <w:p w14:paraId="730A7269" w14:textId="1A565CFF" w:rsidR="00521FDB" w:rsidRPr="00F73482" w:rsidRDefault="007B3052" w:rsidP="00521FDB">
      <w:pPr>
        <w:pStyle w:val="Schedule2"/>
      </w:pPr>
      <w:bookmarkStart w:id="166" w:name="_Ref161349992"/>
      <w:r>
        <w:rPr>
          <w:b/>
          <w:bCs/>
          <w:i/>
          <w:iCs/>
        </w:rPr>
        <w:t>Individual Segregat</w:t>
      </w:r>
      <w:r w:rsidR="00530B90">
        <w:rPr>
          <w:b/>
          <w:bCs/>
          <w:i/>
          <w:iCs/>
        </w:rPr>
        <w:t>ion</w:t>
      </w:r>
      <w:r>
        <w:rPr>
          <w:b/>
          <w:bCs/>
          <w:i/>
          <w:iCs/>
        </w:rPr>
        <w:t xml:space="preserve"> Accounts</w:t>
      </w:r>
      <w:r>
        <w:t>: A</w:t>
      </w:r>
      <w:r w:rsidR="001E7A8B">
        <w:t>n</w:t>
      </w:r>
      <w:r>
        <w:t xml:space="preserve"> </w:t>
      </w:r>
      <w:r w:rsidR="00272180">
        <w:t>EATM</w:t>
      </w:r>
      <w:r>
        <w:t xml:space="preserve"> Client to whom an Individual </w:t>
      </w:r>
      <w:r w:rsidR="00530B90" w:rsidRPr="00530B90">
        <w:t xml:space="preserve">Segregation </w:t>
      </w:r>
      <w:r>
        <w:t xml:space="preserve">Account relates is, at any time, solely entitled to </w:t>
      </w:r>
      <w:r w:rsidR="000102B2">
        <w:t xml:space="preserve">a </w:t>
      </w:r>
      <w:r w:rsidR="00BC7CAC">
        <w:t xml:space="preserve">portion </w:t>
      </w:r>
      <w:r>
        <w:t xml:space="preserve">of the beneficial interest in the Segregated Assets </w:t>
      </w:r>
      <w:r w:rsidR="000102B2">
        <w:t>equal to</w:t>
      </w:r>
      <w:r w:rsidR="00521FDB">
        <w:t xml:space="preserve"> </w:t>
      </w:r>
      <w:r>
        <w:t>that</w:t>
      </w:r>
      <w:r w:rsidR="000102B2">
        <w:t xml:space="preserve"> which</w:t>
      </w:r>
      <w:r>
        <w:t xml:space="preserve"> derives from the </w:t>
      </w:r>
      <w:r w:rsidR="00272180">
        <w:t>EATM</w:t>
      </w:r>
      <w:r>
        <w:t xml:space="preserve"> Transactions recorded to that Individual </w:t>
      </w:r>
      <w:r w:rsidR="00530B90" w:rsidRPr="00530B90">
        <w:t xml:space="preserve">Segregation </w:t>
      </w:r>
      <w:r>
        <w:t>Account</w:t>
      </w:r>
      <w:r w:rsidR="00521FDB">
        <w:t xml:space="preserve">. An EATM Beneficiary (which may be the Firm or an EATM Client to whom an Individual Segregation Account relates) is, at any time, solely entitled to a portion of the beneficial interest in the Segregated Assets equal to </w:t>
      </w:r>
      <w:r w:rsidR="00B350EE">
        <w:t>that which derives from</w:t>
      </w:r>
      <w:r w:rsidR="00B67027">
        <w:t xml:space="preserve"> </w:t>
      </w:r>
      <w:r w:rsidR="00B350EE" w:rsidRPr="00F73482">
        <w:t>Excess Collateral</w:t>
      </w:r>
      <w:r w:rsidR="00F73482">
        <w:t xml:space="preserve"> held by the CCP in respect of that Individual Segregation Account which is</w:t>
      </w:r>
      <w:r w:rsidR="00B350EE">
        <w:t xml:space="preserve"> </w:t>
      </w:r>
      <w:r w:rsidR="00F73482">
        <w:t xml:space="preserve">identified in the books and records of the Firm as </w:t>
      </w:r>
      <w:r w:rsidR="00B67027">
        <w:t>attributable</w:t>
      </w:r>
      <w:r w:rsidR="00F73482" w:rsidRPr="00F73482">
        <w:t xml:space="preserve"> to that </w:t>
      </w:r>
      <w:r w:rsidR="00272180">
        <w:t>EATM</w:t>
      </w:r>
      <w:r w:rsidR="00F73482" w:rsidRPr="00F73482">
        <w:t xml:space="preserve"> </w:t>
      </w:r>
      <w:r w:rsidR="00521FDB">
        <w:t>Beneficiary</w:t>
      </w:r>
      <w:r w:rsidRPr="00F73482">
        <w:t>.</w:t>
      </w:r>
      <w:bookmarkEnd w:id="166"/>
      <w:r w:rsidRPr="00F73482">
        <w:t xml:space="preserve"> </w:t>
      </w:r>
    </w:p>
    <w:p w14:paraId="1D4A7F09" w14:textId="7EA868EB" w:rsidR="00F73482" w:rsidRDefault="007B3052" w:rsidP="00EC677B">
      <w:pPr>
        <w:pStyle w:val="Schedule2"/>
      </w:pPr>
      <w:bookmarkStart w:id="167" w:name="_Ref161349997"/>
      <w:r>
        <w:rPr>
          <w:b/>
          <w:bCs/>
          <w:i/>
          <w:iCs/>
        </w:rPr>
        <w:t>Omnibus Segregat</w:t>
      </w:r>
      <w:r w:rsidR="00530B90">
        <w:rPr>
          <w:b/>
          <w:bCs/>
          <w:i/>
          <w:iCs/>
        </w:rPr>
        <w:t>ion</w:t>
      </w:r>
      <w:r>
        <w:rPr>
          <w:b/>
          <w:bCs/>
          <w:i/>
          <w:iCs/>
        </w:rPr>
        <w:t xml:space="preserve"> Accounts</w:t>
      </w:r>
      <w:r>
        <w:t xml:space="preserve">: The </w:t>
      </w:r>
      <w:r w:rsidR="00272180">
        <w:t>EATM</w:t>
      </w:r>
      <w:r>
        <w:t xml:space="preserve"> </w:t>
      </w:r>
      <w:r w:rsidR="001C7AFB">
        <w:t>Beneficiaries</w:t>
      </w:r>
      <w:r>
        <w:t xml:space="preserve"> to whom an Omnibus </w:t>
      </w:r>
      <w:r w:rsidR="00530B90" w:rsidRPr="00530B90">
        <w:t xml:space="preserve">Segregation </w:t>
      </w:r>
      <w:r>
        <w:t xml:space="preserve">Account relates have, at any time, a shared entitlement to </w:t>
      </w:r>
      <w:r w:rsidR="000102B2">
        <w:t xml:space="preserve">a </w:t>
      </w:r>
      <w:r>
        <w:t>portion of the beneficial interest in the Segregated Assets</w:t>
      </w:r>
      <w:r w:rsidR="000102B2">
        <w:t xml:space="preserve"> equal to</w:t>
      </w:r>
      <w:r w:rsidR="00F73482">
        <w:t>:</w:t>
      </w:r>
      <w:r>
        <w:t xml:space="preserve"> </w:t>
      </w:r>
    </w:p>
    <w:p w14:paraId="2604D158" w14:textId="1DCE0DBD" w:rsidR="00F73482" w:rsidRDefault="007B3052" w:rsidP="00F73482">
      <w:pPr>
        <w:pStyle w:val="Schedule3"/>
      </w:pPr>
      <w:r>
        <w:t>that</w:t>
      </w:r>
      <w:r w:rsidR="000102B2">
        <w:t xml:space="preserve"> which</w:t>
      </w:r>
      <w:r>
        <w:t xml:space="preserve"> derives from the </w:t>
      </w:r>
      <w:r w:rsidR="00272180">
        <w:t>EATM</w:t>
      </w:r>
      <w:r>
        <w:t xml:space="preserve"> Transactions recorded to that Omnibus </w:t>
      </w:r>
      <w:r w:rsidR="00530B90" w:rsidRPr="00530B90">
        <w:t xml:space="preserve">Segregation </w:t>
      </w:r>
      <w:r>
        <w:t>Account</w:t>
      </w:r>
      <w:r w:rsidR="00F73482">
        <w:t>; plus</w:t>
      </w:r>
    </w:p>
    <w:p w14:paraId="4038F725" w14:textId="6A1935BA" w:rsidR="00F73482" w:rsidRDefault="00F73482" w:rsidP="00F73482">
      <w:pPr>
        <w:pStyle w:val="Schedule3"/>
      </w:pPr>
      <w:r>
        <w:t xml:space="preserve">that which derives from Excess Collateral held by the CCP in respect of that Omnibus Segregation Account which is identified in the books </w:t>
      </w:r>
      <w:r w:rsidRPr="00F73482">
        <w:t xml:space="preserve">and records of the Firm as </w:t>
      </w:r>
      <w:r w:rsidR="00B67027">
        <w:t>attributable</w:t>
      </w:r>
      <w:r w:rsidRPr="00F73482">
        <w:t xml:space="preserve"> to th</w:t>
      </w:r>
      <w:r w:rsidRPr="004D04D7">
        <w:t>ose</w:t>
      </w:r>
      <w:r w:rsidRPr="00F73482">
        <w:t xml:space="preserve"> </w:t>
      </w:r>
      <w:r w:rsidR="00272180">
        <w:t>EATM</w:t>
      </w:r>
      <w:r w:rsidRPr="00F73482">
        <w:t xml:space="preserve"> </w:t>
      </w:r>
      <w:r w:rsidR="001C7AFB">
        <w:t>Beneficiaries</w:t>
      </w:r>
      <w:r w:rsidR="007F05BC" w:rsidRPr="00F73482">
        <w:t>,</w:t>
      </w:r>
      <w:r w:rsidR="007B3052">
        <w:t xml:space="preserve"> </w:t>
      </w:r>
    </w:p>
    <w:p w14:paraId="07A0F48C" w14:textId="59ACB454" w:rsidR="00B350EE" w:rsidRDefault="007B3052" w:rsidP="004D04D7">
      <w:pPr>
        <w:pStyle w:val="Schedule2"/>
        <w:numPr>
          <w:ilvl w:val="0"/>
          <w:numId w:val="0"/>
        </w:numPr>
        <w:ind w:left="680"/>
      </w:pPr>
      <w:r>
        <w:t>with</w:t>
      </w:r>
      <w:r w:rsidR="007F05BC">
        <w:t xml:space="preserve"> the</w:t>
      </w:r>
      <w:r>
        <w:t xml:space="preserve"> individual entitlements of each such </w:t>
      </w:r>
      <w:r w:rsidR="00272180">
        <w:t>EATM</w:t>
      </w:r>
      <w:r>
        <w:t xml:space="preserve"> </w:t>
      </w:r>
      <w:r w:rsidR="00C74406">
        <w:t>Beneficiary</w:t>
      </w:r>
      <w:r>
        <w:t xml:space="preserve"> being </w:t>
      </w:r>
      <w:r w:rsidR="007F05BC">
        <w:t>such</w:t>
      </w:r>
      <w:r>
        <w:t xml:space="preserve"> portion of that shared entitlement </w:t>
      </w:r>
      <w:r w:rsidR="007F05BC">
        <w:t xml:space="preserve">as is </w:t>
      </w:r>
      <w:r>
        <w:t xml:space="preserve">attributed to that </w:t>
      </w:r>
      <w:r w:rsidR="00272180">
        <w:t>EATM</w:t>
      </w:r>
      <w:r>
        <w:t xml:space="preserve"> </w:t>
      </w:r>
      <w:r w:rsidR="00C74406">
        <w:t>Beneficiary</w:t>
      </w:r>
      <w:r>
        <w:t xml:space="preserve"> in the books and records of the Firm.</w:t>
      </w:r>
      <w:bookmarkEnd w:id="167"/>
      <w:r>
        <w:t xml:space="preserve"> </w:t>
      </w:r>
    </w:p>
    <w:p w14:paraId="23A9665A" w14:textId="518EE510" w:rsidR="00D623FE" w:rsidRPr="00A52E0E" w:rsidRDefault="00D623FE" w:rsidP="007B3052">
      <w:pPr>
        <w:pStyle w:val="Schedule2"/>
      </w:pPr>
      <w:bookmarkStart w:id="168" w:name="_Ref170912563"/>
      <w:r w:rsidDel="001C1C2C">
        <w:rPr>
          <w:b/>
          <w:bCs/>
          <w:i/>
          <w:iCs/>
        </w:rPr>
        <w:t>Determining entitlement</w:t>
      </w:r>
      <w:r w:rsidRPr="00A52E0E" w:rsidDel="001C1C2C">
        <w:rPr>
          <w:b/>
          <w:bCs/>
          <w:i/>
          <w:iCs/>
        </w:rPr>
        <w:t>:</w:t>
      </w:r>
      <w:r w:rsidDel="001C1C2C">
        <w:rPr>
          <w:b/>
          <w:bCs/>
          <w:i/>
          <w:iCs/>
        </w:rPr>
        <w:t xml:space="preserve"> </w:t>
      </w:r>
      <w:r w:rsidR="00F73482">
        <w:t xml:space="preserve">Each </w:t>
      </w:r>
      <w:r w:rsidR="00272180">
        <w:t>EATM</w:t>
      </w:r>
      <w:r w:rsidR="00F73482">
        <w:t xml:space="preserve"> Beneficiary’s</w:t>
      </w:r>
      <w:r w:rsidDel="001C1C2C">
        <w:t xml:space="preserve"> entitlement to any Segregated Assets held by the Firm shall be determined in accordance with the entries made in the books and </w:t>
      </w:r>
      <w:r w:rsidDel="001C1C2C">
        <w:lastRenderedPageBreak/>
        <w:t>records of the Firm and not, for example, in accordance with the chronological order in which Segregated Assets became subject to the Segregated Assets Arrangement</w:t>
      </w:r>
      <w:r w:rsidDel="001C1C2C">
        <w:rPr>
          <w:rStyle w:val="FootnoteReference"/>
        </w:rPr>
        <w:footnoteReference w:id="23"/>
      </w:r>
      <w:r>
        <w:t>.</w:t>
      </w:r>
      <w:bookmarkEnd w:id="168"/>
    </w:p>
    <w:p w14:paraId="33307613" w14:textId="3AAFA9C5" w:rsidR="00E70C4B" w:rsidRDefault="007B3052" w:rsidP="00595B69">
      <w:pPr>
        <w:pStyle w:val="Schedule2"/>
      </w:pPr>
      <w:bookmarkStart w:id="169" w:name="_Ref178767993"/>
      <w:bookmarkStart w:id="170" w:name="_Ref170907449"/>
      <w:bookmarkStart w:id="171" w:name="_Ref171332373"/>
      <w:bookmarkStart w:id="172" w:name="_Ref172725233"/>
      <w:bookmarkStart w:id="173" w:name="_Ref172732387"/>
      <w:r w:rsidRPr="00EC677B" w:rsidDel="00EC677B">
        <w:rPr>
          <w:b/>
          <w:bCs/>
          <w:i/>
          <w:iCs/>
        </w:rPr>
        <w:t>Nature</w:t>
      </w:r>
      <w:r w:rsidR="00E70C4B">
        <w:rPr>
          <w:b/>
          <w:bCs/>
          <w:i/>
          <w:iCs/>
        </w:rPr>
        <w:t xml:space="preserve"> and satisfaction</w:t>
      </w:r>
      <w:r w:rsidRPr="00EC677B" w:rsidDel="00EC677B">
        <w:rPr>
          <w:b/>
          <w:bCs/>
          <w:i/>
          <w:iCs/>
        </w:rPr>
        <w:t xml:space="preserve"> of beneficial interest and entitlement</w:t>
      </w:r>
      <w:r w:rsidDel="00EC677B">
        <w:t xml:space="preserve"> </w:t>
      </w:r>
    </w:p>
    <w:p w14:paraId="4E1B85D7" w14:textId="799DBB89" w:rsidR="00340501" w:rsidRDefault="007B3052" w:rsidP="00372858">
      <w:pPr>
        <w:pStyle w:val="Schedule3"/>
      </w:pPr>
      <w:r w:rsidDel="00EC677B">
        <w:t xml:space="preserve">No </w:t>
      </w:r>
      <w:r w:rsidR="00272180">
        <w:t>EATM</w:t>
      </w:r>
      <w:r w:rsidR="00340501">
        <w:t xml:space="preserve"> Beneficiary</w:t>
      </w:r>
      <w:r w:rsidDel="00EC677B">
        <w:t xml:space="preserve"> shall have an </w:t>
      </w:r>
      <w:r w:rsidR="00EC0DE8" w:rsidDel="00EC677B">
        <w:t>entitlement to</w:t>
      </w:r>
      <w:r w:rsidDel="00EC677B">
        <w:t xml:space="preserve"> any specific Segregated Asset.</w:t>
      </w:r>
      <w:bookmarkEnd w:id="169"/>
      <w:r w:rsidDel="00EC677B">
        <w:t xml:space="preserve"> </w:t>
      </w:r>
    </w:p>
    <w:p w14:paraId="58209208" w14:textId="5BDBCBC4" w:rsidR="00C449DE" w:rsidRDefault="007B3052" w:rsidP="00372858">
      <w:pPr>
        <w:pStyle w:val="Schedule3"/>
      </w:pPr>
      <w:r>
        <w:t xml:space="preserve">Each </w:t>
      </w:r>
      <w:r w:rsidR="00272180">
        <w:t>EATM</w:t>
      </w:r>
      <w:r w:rsidDel="00EC677B">
        <w:t xml:space="preserve"> </w:t>
      </w:r>
      <w:r w:rsidR="00595B69">
        <w:t>Beneficiary</w:t>
      </w:r>
      <w:r>
        <w:t>’s</w:t>
      </w:r>
      <w:r w:rsidDel="00EC677B">
        <w:t xml:space="preserve"> </w:t>
      </w:r>
      <w:r>
        <w:t xml:space="preserve">entitlement to its </w:t>
      </w:r>
      <w:r w:rsidR="00BC7CAC">
        <w:t xml:space="preserve">portion </w:t>
      </w:r>
      <w:r>
        <w:t>of the beneficial interest in the</w:t>
      </w:r>
      <w:r w:rsidDel="00EC677B">
        <w:t xml:space="preserve"> Segregated Asset</w:t>
      </w:r>
      <w:r>
        <w:t>s</w:t>
      </w:r>
      <w:r w:rsidDel="00EC677B">
        <w:t xml:space="preserve"> shall be </w:t>
      </w:r>
      <w:r w:rsidRPr="00217CB1" w:rsidDel="00EC677B">
        <w:t xml:space="preserve">satisfied </w:t>
      </w:r>
      <w:r w:rsidR="00C73AEC" w:rsidRPr="00A52E0E" w:rsidDel="00EC677B">
        <w:t>to the extent that</w:t>
      </w:r>
      <w:bookmarkStart w:id="174" w:name="_Ref170906853"/>
      <w:bookmarkStart w:id="175" w:name="_Ref171070817"/>
      <w:bookmarkEnd w:id="170"/>
      <w:bookmarkEnd w:id="171"/>
      <w:r w:rsidR="00477107">
        <w:t xml:space="preserve">, in relation to one or more </w:t>
      </w:r>
      <w:r w:rsidR="00272180">
        <w:t>EATM</w:t>
      </w:r>
      <w:r w:rsidR="00477107">
        <w:t xml:space="preserve"> Transactions</w:t>
      </w:r>
      <w:r w:rsidR="00B67027">
        <w:t xml:space="preserve"> or Excess Collateral</w:t>
      </w:r>
      <w:r w:rsidR="00477107">
        <w:t xml:space="preserve"> that are attributed to such </w:t>
      </w:r>
      <w:r w:rsidR="00272180">
        <w:t>EATM</w:t>
      </w:r>
      <w:r w:rsidR="00477107">
        <w:t xml:space="preserve"> </w:t>
      </w:r>
      <w:r w:rsidR="00595B69">
        <w:t>Beneficiary</w:t>
      </w:r>
      <w:r w:rsidR="00477107">
        <w:t xml:space="preserve"> in the books and records of the Firm</w:t>
      </w:r>
      <w:r w:rsidR="00E70C4B">
        <w:t>:</w:t>
      </w:r>
      <w:bookmarkEnd w:id="172"/>
      <w:r w:rsidR="00C449DE">
        <w:t xml:space="preserve"> </w:t>
      </w:r>
      <w:bookmarkEnd w:id="173"/>
      <w:bookmarkEnd w:id="174"/>
      <w:bookmarkEnd w:id="175"/>
    </w:p>
    <w:p w14:paraId="74799FA9" w14:textId="6CB047F6" w:rsidR="00477107" w:rsidRDefault="00AB7698" w:rsidP="00372858">
      <w:pPr>
        <w:pStyle w:val="Schedule4"/>
      </w:pPr>
      <w:r>
        <w:t xml:space="preserve">Equivalent </w:t>
      </w:r>
      <w:r w:rsidR="00477107">
        <w:t>Settled Assets are delivered</w:t>
      </w:r>
      <w:r>
        <w:t xml:space="preserve"> </w:t>
      </w:r>
      <w:r w:rsidR="00477107">
        <w:t xml:space="preserve">to, or to the order of, such </w:t>
      </w:r>
      <w:r w:rsidR="00272180">
        <w:t>EATM</w:t>
      </w:r>
      <w:r w:rsidR="00477107">
        <w:t xml:space="preserve"> </w:t>
      </w:r>
      <w:r w:rsidR="00595B69">
        <w:t>Beneficiary</w:t>
      </w:r>
      <w:r>
        <w:t xml:space="preserve"> in accordance with paragraph </w:t>
      </w:r>
      <w:r>
        <w:fldChar w:fldCharType="begin" w:fldLock="1"/>
      </w:r>
      <w:r>
        <w:instrText xml:space="preserve"> REF _Ref192804165 \r \h </w:instrText>
      </w:r>
      <w:r>
        <w:fldChar w:fldCharType="separate"/>
      </w:r>
      <w:r w:rsidR="009646BC">
        <w:t>1.6.3</w:t>
      </w:r>
      <w:r>
        <w:fldChar w:fldCharType="end"/>
      </w:r>
      <w:r>
        <w:t xml:space="preserve"> of these Terms</w:t>
      </w:r>
      <w:r w:rsidR="00477107">
        <w:t>; and/or</w:t>
      </w:r>
    </w:p>
    <w:p w14:paraId="30039019" w14:textId="44175477" w:rsidR="001C1C2C" w:rsidRDefault="00AB7698" w:rsidP="00372858">
      <w:pPr>
        <w:pStyle w:val="Schedule4"/>
      </w:pPr>
      <w:r w:rsidRPr="00AB7698">
        <w:t xml:space="preserve">the Firm’s rights against such EATM CCP in connection with </w:t>
      </w:r>
      <w:r w:rsidR="00FC3C4B">
        <w:t xml:space="preserve">such </w:t>
      </w:r>
      <w:r w:rsidR="00272180">
        <w:t>EATM</w:t>
      </w:r>
      <w:r w:rsidR="00FC3C4B">
        <w:t xml:space="preserve"> Transactions </w:t>
      </w:r>
      <w:r w:rsidR="001C4D18" w:rsidDel="00EC677B">
        <w:t>cease to be held by the Firm by operation of the CCP Rules of a</w:t>
      </w:r>
      <w:r w:rsidR="001E7A8B">
        <w:t>n</w:t>
      </w:r>
      <w:r w:rsidR="001C4D18" w:rsidDel="00EC677B">
        <w:t xml:space="preserve"> </w:t>
      </w:r>
      <w:r w:rsidR="00272180">
        <w:t>EATM</w:t>
      </w:r>
      <w:r w:rsidR="00902414" w:rsidDel="00EC677B">
        <w:t xml:space="preserve"> </w:t>
      </w:r>
      <w:r w:rsidR="001C4D18" w:rsidDel="00EC677B">
        <w:t>CCP</w:t>
      </w:r>
      <w:r w:rsidR="00592EFF">
        <w:t xml:space="preserve">, </w:t>
      </w:r>
    </w:p>
    <w:p w14:paraId="64B502AF" w14:textId="7B965175" w:rsidR="00592EFF" w:rsidRDefault="00592EFF" w:rsidP="00372858">
      <w:pPr>
        <w:pStyle w:val="Schedule2"/>
        <w:numPr>
          <w:ilvl w:val="0"/>
          <w:numId w:val="0"/>
        </w:numPr>
        <w:ind w:left="1360"/>
      </w:pPr>
      <w:r>
        <w:t xml:space="preserve">and in each case upon such occurrence </w:t>
      </w:r>
      <w:r w:rsidR="00AB7698">
        <w:t>any</w:t>
      </w:r>
      <w:r>
        <w:t xml:space="preserve"> Settled Assets</w:t>
      </w:r>
      <w:r w:rsidR="00AB7698">
        <w:t xml:space="preserve"> (and any assets which would have been Settled Assets were they not </w:t>
      </w:r>
      <w:r w:rsidR="00AB7698" w:rsidRPr="001315A2">
        <w:t>Deemed Settled Assets</w:t>
      </w:r>
      <w:r w:rsidR="00AB7698">
        <w:t xml:space="preserve"> instead)</w:t>
      </w:r>
      <w:r w:rsidR="00AB7698" w:rsidRPr="001315A2">
        <w:t xml:space="preserve"> </w:t>
      </w:r>
      <w:r w:rsidR="00AB7698">
        <w:t>which gave rise to the entitlement to such Equivalent Settled Assets</w:t>
      </w:r>
      <w:r>
        <w:t xml:space="preserve"> and</w:t>
      </w:r>
      <w:r w:rsidR="00AB7698">
        <w:t>/or the Firm’s rights against such EATM</w:t>
      </w:r>
      <w:r w:rsidR="001F1182">
        <w:t xml:space="preserve"> </w:t>
      </w:r>
      <w:r w:rsidR="00AB7698">
        <w:t>CCP in connection with such</w:t>
      </w:r>
      <w:r>
        <w:t xml:space="preserve"> </w:t>
      </w:r>
      <w:r w:rsidR="00272180">
        <w:t>EATM</w:t>
      </w:r>
      <w:r>
        <w:t xml:space="preserve"> Transactions shall cease, for the avoidance</w:t>
      </w:r>
      <w:r w:rsidR="00AB7698">
        <w:t xml:space="preserve"> of doubt</w:t>
      </w:r>
      <w:r>
        <w:t xml:space="preserve">, to be Segregated Assets. </w:t>
      </w:r>
    </w:p>
    <w:p w14:paraId="4B98DAEF" w14:textId="6635E607" w:rsidR="00B67027" w:rsidRDefault="00D83434" w:rsidP="00372858">
      <w:pPr>
        <w:pStyle w:val="Schedule3"/>
      </w:pPr>
      <w:bookmarkStart w:id="176" w:name="_Ref192804165"/>
      <w:r w:rsidRPr="005D4CCA">
        <w:t>The Firm shall immediately</w:t>
      </w:r>
      <w:r w:rsidR="00953805" w:rsidRPr="005D4CCA">
        <w:t xml:space="preserve"> </w:t>
      </w:r>
      <w:r w:rsidRPr="005D4CCA">
        <w:t>on receipt of Settled Assets</w:t>
      </w:r>
      <w:r w:rsidR="005D4CCA" w:rsidRPr="004327E0">
        <w:t>,</w:t>
      </w:r>
      <w:r w:rsidR="00DA638E" w:rsidRPr="004327E0">
        <w:t xml:space="preserve"> </w:t>
      </w:r>
      <w:r w:rsidR="00FC3C4B" w:rsidRPr="005D4CCA">
        <w:t>or the deemed receipt of Deemed Settled Assets</w:t>
      </w:r>
      <w:r w:rsidR="005D4CCA" w:rsidRPr="004327E0">
        <w:t>,</w:t>
      </w:r>
      <w:r w:rsidR="00595B69">
        <w:t xml:space="preserve"> </w:t>
      </w:r>
      <w:r w:rsidR="001C7AFB">
        <w:t xml:space="preserve">that are attributed to </w:t>
      </w:r>
      <w:r w:rsidR="00595B69">
        <w:t>a</w:t>
      </w:r>
      <w:r w:rsidR="001E7A8B">
        <w:t>n</w:t>
      </w:r>
      <w:r w:rsidR="00595B69">
        <w:t xml:space="preserve"> </w:t>
      </w:r>
      <w:r w:rsidR="00272180">
        <w:t>EATM</w:t>
      </w:r>
      <w:r w:rsidR="00595B69">
        <w:t xml:space="preserve"> Client</w:t>
      </w:r>
      <w:r w:rsidR="001C7AFB">
        <w:t xml:space="preserve"> in the books and records of the Firm</w:t>
      </w:r>
      <w:r w:rsidR="00FC3C4B" w:rsidRPr="005D4CCA">
        <w:t xml:space="preserve"> </w:t>
      </w:r>
      <w:r w:rsidR="00AB7698">
        <w:t>be subject to a</w:t>
      </w:r>
      <w:r w:rsidR="003758B1">
        <w:t xml:space="preserve"> contractual delivery obligation for</w:t>
      </w:r>
      <w:r w:rsidR="00D76661">
        <w:t xml:space="preserve"> Equivalent Settled Assets under the </w:t>
      </w:r>
      <w:r w:rsidR="00272180">
        <w:t>EATM</w:t>
      </w:r>
      <w:r w:rsidR="00D76661">
        <w:t xml:space="preserve"> Agreement </w:t>
      </w:r>
      <w:r w:rsidR="003758B1">
        <w:t>to</w:t>
      </w:r>
      <w:r w:rsidR="00477107">
        <w:t xml:space="preserve"> </w:t>
      </w:r>
      <w:r w:rsidR="00D76661">
        <w:t xml:space="preserve">each such </w:t>
      </w:r>
      <w:r w:rsidR="00272180">
        <w:t>EATM</w:t>
      </w:r>
      <w:r w:rsidR="00D76661">
        <w:t xml:space="preserve"> Client, following which</w:t>
      </w:r>
      <w:r w:rsidR="003758B1">
        <w:t xml:space="preserve">: (i) the Firm shall allocate such Equivalent Settled Assets to the account at the Firm under the </w:t>
      </w:r>
      <w:r w:rsidR="00272180">
        <w:t>EATM</w:t>
      </w:r>
      <w:r w:rsidR="003758B1">
        <w:t xml:space="preserve"> Agreement; and (ii) </w:t>
      </w:r>
      <w:r w:rsidR="00D76661">
        <w:t xml:space="preserve">the shared beneficial entitlement of the </w:t>
      </w:r>
      <w:r w:rsidR="00272180">
        <w:t>EATM</w:t>
      </w:r>
      <w:r w:rsidR="00D76661">
        <w:t xml:space="preserve"> </w:t>
      </w:r>
      <w:r w:rsidR="00B67027">
        <w:t>Beneficiaries</w:t>
      </w:r>
      <w:r w:rsidR="00D76661">
        <w:t xml:space="preserve"> to such Settled Assets </w:t>
      </w:r>
      <w:r w:rsidR="00AB7698">
        <w:t xml:space="preserve">(and to assets which would have been Settled Assets were they not </w:t>
      </w:r>
      <w:r w:rsidR="00D76661">
        <w:t>Deemed Settled Assets</w:t>
      </w:r>
      <w:r w:rsidR="00AB7698">
        <w:t xml:space="preserve"> instead)</w:t>
      </w:r>
      <w:r w:rsidR="00D76661">
        <w:t xml:space="preserve"> shall, for the avoidance of doubt, have been satisfied by the Firm.</w:t>
      </w:r>
      <w:bookmarkEnd w:id="176"/>
      <w:r w:rsidR="00D76661">
        <w:t xml:space="preserve"> </w:t>
      </w:r>
    </w:p>
    <w:p w14:paraId="15F68DD2" w14:textId="77777777" w:rsidR="001804BA" w:rsidRDefault="001804BA" w:rsidP="00A52E0E">
      <w:pPr>
        <w:pStyle w:val="Schedule1"/>
        <w:keepNext/>
        <w:rPr>
          <w:b/>
          <w:bCs/>
        </w:rPr>
      </w:pPr>
      <w:bookmarkStart w:id="177" w:name="_Ref170912571"/>
      <w:r>
        <w:rPr>
          <w:b/>
          <w:bCs/>
        </w:rPr>
        <w:t>Powers and duties of the Firm</w:t>
      </w:r>
      <w:bookmarkEnd w:id="177"/>
    </w:p>
    <w:p w14:paraId="2EAB5DB9" w14:textId="54CFD295" w:rsidR="001804BA" w:rsidRPr="00AA48D4" w:rsidRDefault="001804BA" w:rsidP="00A52E0E">
      <w:pPr>
        <w:pStyle w:val="Schedule2"/>
        <w:keepNext/>
        <w:rPr>
          <w:b/>
          <w:bCs/>
        </w:rPr>
      </w:pPr>
      <w:r w:rsidRPr="00AA48D4">
        <w:rPr>
          <w:b/>
          <w:bCs/>
          <w:i/>
          <w:iCs/>
        </w:rPr>
        <w:t>Trustee Act 2000</w:t>
      </w:r>
      <w:r w:rsidRPr="004C0F61">
        <w:rPr>
          <w:b/>
          <w:bCs/>
          <w:i/>
          <w:iCs/>
        </w:rPr>
        <w:t>:</w:t>
      </w:r>
      <w:r>
        <w:rPr>
          <w:b/>
          <w:bCs/>
        </w:rPr>
        <w:t xml:space="preserve"> </w:t>
      </w:r>
      <w:r w:rsidRPr="00AA48D4">
        <w:t>To the fullest extent permitted by law</w:t>
      </w:r>
      <w:r w:rsidR="005862C6">
        <w:t xml:space="preserve"> and subject to paragrap</w:t>
      </w:r>
      <w:r w:rsidR="0058449B">
        <w:t xml:space="preserve">h </w:t>
      </w:r>
      <w:r w:rsidR="0058449B">
        <w:fldChar w:fldCharType="begin" w:fldLock="1"/>
      </w:r>
      <w:r w:rsidR="0058449B">
        <w:instrText xml:space="preserve"> REF _Ref160542420 \r \h </w:instrText>
      </w:r>
      <w:r w:rsidR="0058449B">
        <w:fldChar w:fldCharType="separate"/>
      </w:r>
      <w:r w:rsidR="009646BC">
        <w:t>3.4</w:t>
      </w:r>
      <w:r w:rsidR="0058449B">
        <w:fldChar w:fldCharType="end"/>
      </w:r>
      <w:r w:rsidR="00DB309D">
        <w:t xml:space="preserve"> (</w:t>
      </w:r>
      <w:r w:rsidR="00DB309D">
        <w:rPr>
          <w:i/>
          <w:iCs/>
        </w:rPr>
        <w:t>Contractual amendments</w:t>
      </w:r>
      <w:r w:rsidR="00DB309D">
        <w:t>)</w:t>
      </w:r>
      <w:r w:rsidR="00F7779C">
        <w:t xml:space="preserve"> of </w:t>
      </w:r>
      <w:r w:rsidR="00BF2371">
        <w:t>these Terms</w:t>
      </w:r>
      <w:r w:rsidRPr="00AA48D4">
        <w:t>, none of Part I, II,</w:t>
      </w:r>
      <w:r w:rsidR="0045670C">
        <w:t xml:space="preserve"> or</w:t>
      </w:r>
      <w:r w:rsidRPr="00AA48D4">
        <w:t xml:space="preserve"> III</w:t>
      </w:r>
      <w:r w:rsidR="0045670C">
        <w:t xml:space="preserve"> </w:t>
      </w:r>
      <w:r w:rsidRPr="00AA48D4">
        <w:t>of the Trustee Act 2000</w:t>
      </w:r>
      <w:r>
        <w:t>,</w:t>
      </w:r>
      <w:r w:rsidRPr="00AA48D4">
        <w:t xml:space="preserve"> including the requirement to discharge the duty of care set out in Section 1(1) of the Trustee Act 2000 in relation to the exercise of any of </w:t>
      </w:r>
      <w:r>
        <w:t>the Firm’s</w:t>
      </w:r>
      <w:r w:rsidRPr="00AA48D4">
        <w:t xml:space="preserve"> powers</w:t>
      </w:r>
      <w:r>
        <w:t>,</w:t>
      </w:r>
      <w:r w:rsidRPr="00AA48D4">
        <w:t xml:space="preserve"> shall apply to the</w:t>
      </w:r>
      <w:r>
        <w:t xml:space="preserve"> </w:t>
      </w:r>
      <w:r w:rsidR="00DD6860">
        <w:t>Segregated Assets</w:t>
      </w:r>
      <w:r w:rsidRPr="00AA48D4">
        <w:t xml:space="preserve"> </w:t>
      </w:r>
      <w:r w:rsidR="00802900">
        <w:t>Arrangement</w:t>
      </w:r>
      <w:r w:rsidR="00802900" w:rsidRPr="00AA48D4">
        <w:t xml:space="preserve"> </w:t>
      </w:r>
      <w:r w:rsidRPr="00AA48D4">
        <w:t xml:space="preserve">or </w:t>
      </w:r>
      <w:r>
        <w:t>the Firm</w:t>
      </w:r>
      <w:r w:rsidRPr="00AA48D4">
        <w:t xml:space="preserve">’s role as trustee of the </w:t>
      </w:r>
      <w:r w:rsidR="00561784">
        <w:t>Segregated Assets</w:t>
      </w:r>
      <w:r>
        <w:t xml:space="preserve"> </w:t>
      </w:r>
      <w:r w:rsidR="00802900">
        <w:t>Arrangement</w:t>
      </w:r>
      <w:r w:rsidRPr="00AA48D4">
        <w:t>. The disapplication of those parts or sections of the Trustee Act 2000 shall constitute an exclusion of the relevant parts or sections of the Trustee Act 2000 for the purposes of that Act.</w:t>
      </w:r>
      <w:r w:rsidR="008E102C">
        <w:t xml:space="preserve"> For the avoidance of doubt, the disapplication of Part II of the Trustee Act 2000 shall not </w:t>
      </w:r>
      <w:r w:rsidR="008E102C">
        <w:lastRenderedPageBreak/>
        <w:t xml:space="preserve">in any way qualify the </w:t>
      </w:r>
      <w:r w:rsidR="002C710F">
        <w:t>t</w:t>
      </w:r>
      <w:r w:rsidR="008E102C">
        <w:t>rustee’s powers</w:t>
      </w:r>
      <w:r w:rsidR="006E2F42">
        <w:t xml:space="preserve"> of investment arising </w:t>
      </w:r>
      <w:r w:rsidR="005D674D">
        <w:t xml:space="preserve">otherwise than </w:t>
      </w:r>
      <w:r w:rsidR="006E2F42">
        <w:t>under the Trustee Act 2000.</w:t>
      </w:r>
    </w:p>
    <w:p w14:paraId="7F375107" w14:textId="627E5B08" w:rsidR="001804BA" w:rsidRPr="00B35ADD" w:rsidRDefault="001804BA" w:rsidP="001804BA">
      <w:pPr>
        <w:pStyle w:val="Schedule2"/>
        <w:rPr>
          <w:b/>
          <w:bCs/>
          <w:i/>
          <w:iCs/>
        </w:rPr>
      </w:pPr>
      <w:r w:rsidRPr="00AA48D4">
        <w:rPr>
          <w:b/>
          <w:bCs/>
          <w:i/>
          <w:iCs/>
        </w:rPr>
        <w:t xml:space="preserve">Firm’s powers: </w:t>
      </w:r>
      <w:r>
        <w:t>The Firm</w:t>
      </w:r>
      <w:r w:rsidRPr="00AA48D4">
        <w:t xml:space="preserve"> shall have the powers conferred by </w:t>
      </w:r>
      <w:r w:rsidR="00BF2371">
        <w:t xml:space="preserve">these Terms </w:t>
      </w:r>
      <w:r w:rsidR="007279FD">
        <w:t xml:space="preserve">subject to paragraph </w:t>
      </w:r>
      <w:r w:rsidR="007279FD">
        <w:fldChar w:fldCharType="begin" w:fldLock="1"/>
      </w:r>
      <w:r w:rsidR="007279FD">
        <w:instrText xml:space="preserve"> REF _Ref160542420 \r \h </w:instrText>
      </w:r>
      <w:r w:rsidR="007279FD">
        <w:fldChar w:fldCharType="separate"/>
      </w:r>
      <w:r w:rsidR="009646BC">
        <w:t>3.4</w:t>
      </w:r>
      <w:r w:rsidR="007279FD">
        <w:fldChar w:fldCharType="end"/>
      </w:r>
      <w:r w:rsidR="00DB309D">
        <w:t xml:space="preserve"> (</w:t>
      </w:r>
      <w:r w:rsidR="00DB309D">
        <w:rPr>
          <w:i/>
          <w:iCs/>
        </w:rPr>
        <w:t>Contractual amendments</w:t>
      </w:r>
      <w:r w:rsidR="00DB309D">
        <w:t>)</w:t>
      </w:r>
      <w:r w:rsidR="007279FD">
        <w:t xml:space="preserve"> of </w:t>
      </w:r>
      <w:r w:rsidR="00BF2371">
        <w:t xml:space="preserve">these Terms </w:t>
      </w:r>
      <w:r w:rsidRPr="00AA48D4">
        <w:t xml:space="preserve">and </w:t>
      </w:r>
      <w:r>
        <w:t xml:space="preserve">the Firm </w:t>
      </w:r>
      <w:r w:rsidRPr="00AA48D4">
        <w:t xml:space="preserve">shall be empowered to deal with the </w:t>
      </w:r>
      <w:r w:rsidR="00AB4ACA">
        <w:t>Segregated</w:t>
      </w:r>
      <w:r>
        <w:t xml:space="preserve"> Assets</w:t>
      </w:r>
      <w:r w:rsidRPr="00AA48D4">
        <w:t xml:space="preserve"> for the purposes and to achieve the objects of this </w:t>
      </w:r>
      <w:r w:rsidR="00561784">
        <w:t>Segregated Assets</w:t>
      </w:r>
      <w:r>
        <w:t xml:space="preserve"> </w:t>
      </w:r>
      <w:r w:rsidR="00802900">
        <w:t>Arrangement</w:t>
      </w:r>
      <w:r w:rsidR="00802900" w:rsidRPr="00AA48D4">
        <w:t xml:space="preserve"> </w:t>
      </w:r>
      <w:r w:rsidRPr="00AA48D4">
        <w:t xml:space="preserve">in accordance with the terms set out in </w:t>
      </w:r>
      <w:r w:rsidR="00BF2371">
        <w:t xml:space="preserve">these Terms </w:t>
      </w:r>
      <w:r w:rsidRPr="00AA48D4">
        <w:t xml:space="preserve">and may do all such other lawful things as are in the opinion of </w:t>
      </w:r>
      <w:r>
        <w:t xml:space="preserve">the Firm </w:t>
      </w:r>
      <w:r w:rsidRPr="00AA48D4">
        <w:t xml:space="preserve">necessary, desirable, incidental or conducive to </w:t>
      </w:r>
      <w:r>
        <w:t>the Firm</w:t>
      </w:r>
      <w:r w:rsidRPr="00AA48D4">
        <w:t xml:space="preserve">’s powers to enable or facilitate the administration of this </w:t>
      </w:r>
      <w:r w:rsidR="00CD4559">
        <w:t>Segregated Assets</w:t>
      </w:r>
      <w:r w:rsidR="00802900">
        <w:t xml:space="preserve"> Arrangement</w:t>
      </w:r>
      <w:r w:rsidR="000C234C">
        <w:t xml:space="preserve"> and as the Firm considers necessary or desirable to give effect to any </w:t>
      </w:r>
      <w:r w:rsidR="00272180">
        <w:t>EATM</w:t>
      </w:r>
      <w:r w:rsidR="000C234C">
        <w:t xml:space="preserve"> Agreement (provided that</w:t>
      </w:r>
      <w:r w:rsidR="00140CC6">
        <w:t xml:space="preserve"> </w:t>
      </w:r>
      <w:r w:rsidR="000C234C">
        <w:t>the Firm may not exercise any power</w:t>
      </w:r>
      <w:r w:rsidR="00567406">
        <w:t xml:space="preserve"> to give effect to a</w:t>
      </w:r>
      <w:r w:rsidR="001E7A8B">
        <w:t>n</w:t>
      </w:r>
      <w:r w:rsidR="00567406">
        <w:t xml:space="preserve"> </w:t>
      </w:r>
      <w:r w:rsidR="00272180">
        <w:t>EATM</w:t>
      </w:r>
      <w:r w:rsidR="00567406">
        <w:t xml:space="preserve"> Agreement in a manner</w:t>
      </w:r>
      <w:r w:rsidR="000C234C">
        <w:t xml:space="preserve"> that would </w:t>
      </w:r>
      <w:r w:rsidR="005D674D">
        <w:t xml:space="preserve">alter </w:t>
      </w:r>
      <w:r w:rsidR="00796AC5">
        <w:t>the</w:t>
      </w:r>
      <w:r w:rsidR="00B433C3">
        <w:t xml:space="preserve"> </w:t>
      </w:r>
      <w:r w:rsidR="005D674D">
        <w:t xml:space="preserve">nature or </w:t>
      </w:r>
      <w:r w:rsidR="00B433C3">
        <w:t>extent</w:t>
      </w:r>
      <w:r w:rsidR="00FF69D5">
        <w:t xml:space="preserve"> of</w:t>
      </w:r>
      <w:r w:rsidR="00B433C3">
        <w:t xml:space="preserve"> the</w:t>
      </w:r>
      <w:r w:rsidR="00796AC5">
        <w:t xml:space="preserve"> </w:t>
      </w:r>
      <w:r w:rsidR="009D33E8">
        <w:t>entitlement of</w:t>
      </w:r>
      <w:r w:rsidR="00567499">
        <w:t xml:space="preserve"> </w:t>
      </w:r>
      <w:r w:rsidR="00796AC5">
        <w:t xml:space="preserve">any </w:t>
      </w:r>
      <w:r w:rsidR="00272180">
        <w:t>EATM</w:t>
      </w:r>
      <w:r w:rsidR="00796AC5">
        <w:t xml:space="preserve"> </w:t>
      </w:r>
      <w:r w:rsidR="00595B69">
        <w:t>Beneficiary</w:t>
      </w:r>
      <w:r w:rsidR="00E56DD2">
        <w:t xml:space="preserve"> </w:t>
      </w:r>
      <w:r w:rsidR="009D33E8">
        <w:t>to its share of</w:t>
      </w:r>
      <w:r w:rsidR="00E56DD2">
        <w:t xml:space="preserve"> the beneficial interest in the Segregated Assets</w:t>
      </w:r>
      <w:r w:rsidR="00C322EC" w:rsidRPr="00C322EC">
        <w:t xml:space="preserve"> without that </w:t>
      </w:r>
      <w:r w:rsidR="00272180">
        <w:t>EATM</w:t>
      </w:r>
      <w:r w:rsidR="00C322EC" w:rsidRPr="00C322EC">
        <w:t xml:space="preserve"> </w:t>
      </w:r>
      <w:r w:rsidR="00595B69">
        <w:t>Beneficiary</w:t>
      </w:r>
      <w:r w:rsidR="00C322EC" w:rsidRPr="00C322EC">
        <w:t>’s prior written agreement</w:t>
      </w:r>
      <w:r w:rsidR="008950F6">
        <w:t>)</w:t>
      </w:r>
      <w:r>
        <w:t xml:space="preserve">: </w:t>
      </w:r>
    </w:p>
    <w:p w14:paraId="1B4039E7" w14:textId="3572904B" w:rsidR="001804BA" w:rsidRPr="00194090" w:rsidRDefault="001804BA" w:rsidP="00112913">
      <w:pPr>
        <w:pStyle w:val="Schedule3"/>
      </w:pPr>
      <w:bookmarkStart w:id="178" w:name="_Ref133438877"/>
      <w:r w:rsidRPr="00B35ADD">
        <w:rPr>
          <w:b/>
          <w:bCs/>
          <w:i/>
          <w:iCs/>
        </w:rPr>
        <w:t>Advice</w:t>
      </w:r>
      <w:r w:rsidRPr="004C0F61">
        <w:rPr>
          <w:b/>
          <w:bCs/>
          <w:i/>
          <w:iCs/>
        </w:rPr>
        <w:t>:</w:t>
      </w:r>
      <w:r w:rsidRPr="00194090">
        <w:t xml:space="preserve"> </w:t>
      </w:r>
      <w:r w:rsidRPr="00112913">
        <w:t xml:space="preserve">The Firm may, in relation to any of the provisions of </w:t>
      </w:r>
      <w:r w:rsidR="00BF2371">
        <w:t xml:space="preserve">these Terms </w:t>
      </w:r>
      <w:r w:rsidRPr="00112913">
        <w:t xml:space="preserve">or any other document relating to </w:t>
      </w:r>
      <w:r w:rsidR="00BF2371">
        <w:t>these Terms</w:t>
      </w:r>
      <w:r w:rsidRPr="00112913">
        <w:t>, act and rely on the opinion, advice of, report, confirmation, certificate or information (collectively, “</w:t>
      </w:r>
      <w:r w:rsidRPr="00112913">
        <w:rPr>
          <w:b/>
          <w:bCs/>
        </w:rPr>
        <w:t>Advice</w:t>
      </w:r>
      <w:r w:rsidRPr="00112913">
        <w:t>”) obtained from, any lawyer, valuer, accountant (including auditors), surveyor, banker, broker, auctioneer or other expert, irrespective of whether such Advice or any engagement letter</w:t>
      </w:r>
      <w:r w:rsidR="003E6537">
        <w:t>:</w:t>
      </w:r>
      <w:r w:rsidRPr="00112913">
        <w:t xml:space="preserve"> (i) is obtained by or addressed to </w:t>
      </w:r>
      <w:r w:rsidR="00A54E59" w:rsidRPr="00112913">
        <w:t>a</w:t>
      </w:r>
      <w:r w:rsidR="001E7A8B">
        <w:t>n</w:t>
      </w:r>
      <w:r w:rsidR="00A54E59" w:rsidRPr="00112913">
        <w:t xml:space="preserve"> </w:t>
      </w:r>
      <w:r w:rsidR="00272180">
        <w:t>EATM</w:t>
      </w:r>
      <w:r w:rsidRPr="00112913">
        <w:t xml:space="preserve"> </w:t>
      </w:r>
      <w:r w:rsidR="00595B69">
        <w:t>Beneficiary</w:t>
      </w:r>
      <w:r w:rsidRPr="00112913">
        <w:t xml:space="preserve"> or any other person</w:t>
      </w:r>
      <w:r w:rsidR="003E6537">
        <w:t>;</w:t>
      </w:r>
      <w:r w:rsidRPr="00112913">
        <w:t xml:space="preserve"> or (ii) contains a monetary limit on liability or limits the scope and/or basis of such Advice. Any such Advice may be sent or obtained by letter or electronic communication and the Firm shall not be liable to anyone for acting in good faith on any Advice purporting to be conveyed by such means even if it contains some error or is not authentic;</w:t>
      </w:r>
      <w:bookmarkEnd w:id="178"/>
      <w:r w:rsidRPr="00194090">
        <w:t xml:space="preserve"> </w:t>
      </w:r>
    </w:p>
    <w:p w14:paraId="09FA0726" w14:textId="151D713A" w:rsidR="001804BA" w:rsidRDefault="001804BA" w:rsidP="001804BA">
      <w:pPr>
        <w:pStyle w:val="Schedule3"/>
      </w:pPr>
      <w:r w:rsidRPr="00C5576C">
        <w:rPr>
          <w:b/>
          <w:bCs/>
          <w:i/>
          <w:iCs/>
        </w:rPr>
        <w:t>Recovery</w:t>
      </w:r>
      <w:r w:rsidRPr="004C0F61">
        <w:rPr>
          <w:b/>
          <w:bCs/>
          <w:i/>
          <w:iCs/>
        </w:rPr>
        <w:t>:</w:t>
      </w:r>
      <w:r>
        <w:t xml:space="preserve"> The Firm, acting in the interests of the </w:t>
      </w:r>
      <w:r w:rsidR="00272180">
        <w:t>EATM</w:t>
      </w:r>
      <w:r w:rsidR="00A54E59">
        <w:t xml:space="preserve"> </w:t>
      </w:r>
      <w:r w:rsidR="00595B69">
        <w:t>Beneficiarie</w:t>
      </w:r>
      <w:r w:rsidR="00A54E59">
        <w:t>s</w:t>
      </w:r>
      <w:r>
        <w:t xml:space="preserve">, may sue for, recover and receive all debts, all sums of money, goods, effects and other things whatsoever, which may become due, owing, payable, or which may belong to it in its capacity as trustee of this </w:t>
      </w:r>
      <w:r w:rsidR="00CD4559">
        <w:t>Segregated Assets</w:t>
      </w:r>
      <w:r>
        <w:t xml:space="preserve"> </w:t>
      </w:r>
      <w:r w:rsidR="00802900">
        <w:t xml:space="preserve">Arrangement </w:t>
      </w:r>
      <w:r>
        <w:t>but</w:t>
      </w:r>
      <w:r w:rsidR="00FD58C4" w:rsidRPr="00FD58C4">
        <w:t>, to the greatest extent permitted by applicable law,</w:t>
      </w:r>
      <w:r>
        <w:t xml:space="preserve"> shall not be obliged to take or join in any proceedings against any person in connection with any of the matters contemplated herein;</w:t>
      </w:r>
    </w:p>
    <w:p w14:paraId="57F0E112" w14:textId="3D5ADFD8" w:rsidR="001804BA" w:rsidRDefault="001804BA" w:rsidP="001804BA">
      <w:pPr>
        <w:pStyle w:val="Schedule3"/>
      </w:pPr>
      <w:r w:rsidRPr="00C5576C">
        <w:rPr>
          <w:b/>
          <w:bCs/>
          <w:i/>
          <w:iCs/>
        </w:rPr>
        <w:t>Settlement</w:t>
      </w:r>
      <w:r w:rsidRPr="004C0F61">
        <w:rPr>
          <w:b/>
          <w:bCs/>
          <w:i/>
          <w:iCs/>
        </w:rPr>
        <w:t>:</w:t>
      </w:r>
      <w:r>
        <w:t xml:space="preserve"> The Firm, acting in the interests of the </w:t>
      </w:r>
      <w:r w:rsidR="00272180">
        <w:t>EATM</w:t>
      </w:r>
      <w:r w:rsidR="00525FDA">
        <w:t xml:space="preserve"> </w:t>
      </w:r>
      <w:r w:rsidR="00D50C51">
        <w:t>Beneficiaries</w:t>
      </w:r>
      <w:r>
        <w:t xml:space="preserve">, may defend, oppose, adjust, settle, compromise or submit to arbitration all accounts, debts, claims, demands, disputes, legal proceedings and matters which may subsist or arise between itself and any other person whatsoever in relation to this </w:t>
      </w:r>
      <w:r w:rsidR="00CD4559">
        <w:t>Segregated Assets</w:t>
      </w:r>
      <w:r>
        <w:t xml:space="preserve"> </w:t>
      </w:r>
      <w:r w:rsidR="00802900">
        <w:t xml:space="preserve">Arrangement </w:t>
      </w:r>
      <w:r>
        <w:t>and for the purposes aforesaid do and execute all necessary acts and documents;</w:t>
      </w:r>
      <w:r w:rsidR="00656B4B">
        <w:t xml:space="preserve"> and</w:t>
      </w:r>
    </w:p>
    <w:p w14:paraId="176E93D9" w14:textId="4CCE6371" w:rsidR="001804BA" w:rsidRPr="00AA48D4" w:rsidRDefault="001804BA" w:rsidP="00656B4B">
      <w:pPr>
        <w:pStyle w:val="Schedule3"/>
      </w:pPr>
      <w:r w:rsidRPr="00C5576C">
        <w:rPr>
          <w:b/>
          <w:bCs/>
          <w:i/>
          <w:iCs/>
        </w:rPr>
        <w:t>Insolvent creditors</w:t>
      </w:r>
      <w:r w:rsidRPr="004C0F61">
        <w:rPr>
          <w:b/>
          <w:bCs/>
          <w:i/>
          <w:iCs/>
        </w:rPr>
        <w:t>:</w:t>
      </w:r>
      <w:r>
        <w:t xml:space="preserve"> The Firm, acting in the interests of the</w:t>
      </w:r>
      <w:r w:rsidR="00525FDA">
        <w:t xml:space="preserve"> </w:t>
      </w:r>
      <w:r w:rsidR="00272180">
        <w:t>EATM</w:t>
      </w:r>
      <w:r>
        <w:t xml:space="preserve"> </w:t>
      </w:r>
      <w:r w:rsidR="00595B69">
        <w:t>Beneficiarie</w:t>
      </w:r>
      <w:r w:rsidR="00525FDA">
        <w:t>s</w:t>
      </w:r>
      <w:r>
        <w:t>, may attend all meetings of creditors of any person whatsoever indebted to it as the Firm, whether in provisional or final insolvency, liquidation, judicial management or otherwise and vote for the election of liquidators and/or judicial managers and also vote on all questions submitted to any such meeting o</w:t>
      </w:r>
      <w:r w:rsidR="00B115B9">
        <w:t>f</w:t>
      </w:r>
      <w:r>
        <w:t xml:space="preserve"> creditors and generally exercise all rights accruing to a creditor</w:t>
      </w:r>
      <w:r w:rsidR="00656B4B">
        <w:t>.</w:t>
      </w:r>
    </w:p>
    <w:p w14:paraId="082AA9A7" w14:textId="6CB649C5" w:rsidR="001804BA" w:rsidRPr="00AA48D4" w:rsidRDefault="001804BA" w:rsidP="001804BA">
      <w:pPr>
        <w:pStyle w:val="Schedule2"/>
      </w:pPr>
      <w:r w:rsidRPr="00581B13">
        <w:rPr>
          <w:b/>
          <w:bCs/>
          <w:i/>
          <w:iCs/>
        </w:rPr>
        <w:t>No implied duties</w:t>
      </w:r>
      <w:r w:rsidRPr="004C0F61">
        <w:rPr>
          <w:b/>
          <w:bCs/>
          <w:i/>
          <w:iCs/>
        </w:rPr>
        <w:t>:</w:t>
      </w:r>
      <w:r w:rsidRPr="00AA48D4">
        <w:t xml:space="preserve"> To the greatest extent permitted by </w:t>
      </w:r>
      <w:r>
        <w:t>a</w:t>
      </w:r>
      <w:r w:rsidRPr="00AA48D4">
        <w:t xml:space="preserve">pplicable </w:t>
      </w:r>
      <w:r>
        <w:t>l</w:t>
      </w:r>
      <w:r w:rsidRPr="00AA48D4">
        <w:t xml:space="preserve">aw, </w:t>
      </w:r>
      <w:r>
        <w:t>the Firm</w:t>
      </w:r>
      <w:r w:rsidRPr="00AA48D4">
        <w:t xml:space="preserve"> shall have only those duties, functions, obligations and responsibilities expressly undertaken by it under </w:t>
      </w:r>
      <w:r w:rsidR="00BF2371">
        <w:lastRenderedPageBreak/>
        <w:t>these Terms</w:t>
      </w:r>
      <w:r w:rsidRPr="00AA48D4">
        <w:t xml:space="preserve"> (and any other duties, functions and responsibilities incidental thereto) and to the extent that, in acting under </w:t>
      </w:r>
      <w:r w:rsidR="00BF2371">
        <w:t>these Terms</w:t>
      </w:r>
      <w:r w:rsidRPr="00AA48D4">
        <w:t>,</w:t>
      </w:r>
      <w:r>
        <w:t xml:space="preserve"> the Firm </w:t>
      </w:r>
      <w:r w:rsidRPr="00AA48D4">
        <w:t xml:space="preserve">is performing functions or services governed by </w:t>
      </w:r>
      <w:r w:rsidR="00327EC1">
        <w:t>a</w:t>
      </w:r>
      <w:r w:rsidR="001E7A8B">
        <w:t>n</w:t>
      </w:r>
      <w:r w:rsidR="00814C5E">
        <w:t xml:space="preserve"> </w:t>
      </w:r>
      <w:r w:rsidR="00272180">
        <w:t>EATM</w:t>
      </w:r>
      <w:r w:rsidR="00814C5E">
        <w:t xml:space="preserve"> </w:t>
      </w:r>
      <w:r>
        <w:t>Agreement</w:t>
      </w:r>
      <w:r w:rsidRPr="00AA48D4">
        <w:t xml:space="preserve">, such </w:t>
      </w:r>
      <w:r w:rsidR="00272180">
        <w:t>EATM</w:t>
      </w:r>
      <w:r w:rsidR="00D80B98" w:rsidRPr="00D80B98">
        <w:t xml:space="preserve"> </w:t>
      </w:r>
      <w:r>
        <w:t>Agreement</w:t>
      </w:r>
      <w:r w:rsidRPr="00AA48D4">
        <w:t xml:space="preserve">, and </w:t>
      </w:r>
      <w:r>
        <w:t>the Firm</w:t>
      </w:r>
      <w:r w:rsidRPr="00AA48D4">
        <w:t xml:space="preserve"> shall not have any implied duties, functions, obligations or responsibilities. Except to the extent expressly provided for in </w:t>
      </w:r>
      <w:r w:rsidR="00BF2371">
        <w:t>these Terms</w:t>
      </w:r>
      <w:r w:rsidRPr="00AA48D4">
        <w:t xml:space="preserve">, </w:t>
      </w:r>
      <w:r>
        <w:t>the Firm</w:t>
      </w:r>
      <w:r w:rsidRPr="00AA48D4">
        <w:t xml:space="preserve"> does not assume any relationship of trust for or with any other person.</w:t>
      </w:r>
    </w:p>
    <w:p w14:paraId="67BB1986" w14:textId="7D4EE9B2" w:rsidR="001804BA" w:rsidRPr="00AA48D4" w:rsidRDefault="001804BA" w:rsidP="001804BA">
      <w:pPr>
        <w:pStyle w:val="Schedule2"/>
      </w:pPr>
      <w:r w:rsidRPr="00581B13">
        <w:rPr>
          <w:b/>
          <w:bCs/>
          <w:i/>
          <w:iCs/>
        </w:rPr>
        <w:t>Recognition of entitlement:</w:t>
      </w:r>
      <w:r w:rsidRPr="00AA48D4">
        <w:t xml:space="preserve"> To the greatest extent permitted by </w:t>
      </w:r>
      <w:r>
        <w:t>a</w:t>
      </w:r>
      <w:r w:rsidRPr="00AA48D4">
        <w:t xml:space="preserve">pplicable </w:t>
      </w:r>
      <w:r>
        <w:t>l</w:t>
      </w:r>
      <w:r w:rsidRPr="00AA48D4">
        <w:t xml:space="preserve">aw, save for in respect of the </w:t>
      </w:r>
      <w:r w:rsidR="00CD4559">
        <w:t>Segregated Assets</w:t>
      </w:r>
      <w:r>
        <w:t xml:space="preserve"> </w:t>
      </w:r>
      <w:r w:rsidR="00802900">
        <w:t>Arrangement</w:t>
      </w:r>
      <w:r w:rsidRPr="00AA48D4">
        <w:t xml:space="preserve">, </w:t>
      </w:r>
      <w:r>
        <w:t>the Firm</w:t>
      </w:r>
      <w:r w:rsidRPr="00AA48D4">
        <w:t xml:space="preserve"> shall not be bound by or compelled to recognise any express, implied or constructive trust or other interest in respect of the</w:t>
      </w:r>
      <w:r>
        <w:t xml:space="preserve"> </w:t>
      </w:r>
      <w:r w:rsidR="00AB4ACA">
        <w:t>Segregated</w:t>
      </w:r>
      <w:r w:rsidR="005D32F6" w:rsidRPr="00AA48D4">
        <w:t xml:space="preserve"> </w:t>
      </w:r>
      <w:r>
        <w:t xml:space="preserve">Assets, </w:t>
      </w:r>
      <w:r w:rsidRPr="00AA48D4">
        <w:t xml:space="preserve">even if it has actual or constructive notice of that trust or interest. </w:t>
      </w:r>
      <w:r>
        <w:t xml:space="preserve">The Firm </w:t>
      </w:r>
      <w:r w:rsidRPr="00AA48D4">
        <w:t>does not undertake any duty or obligation to any person (other than t</w:t>
      </w:r>
      <w:r>
        <w:t>he</w:t>
      </w:r>
      <w:r w:rsidR="005D32F6" w:rsidRPr="005D32F6">
        <w:t xml:space="preserve"> </w:t>
      </w:r>
      <w:r w:rsidR="00272180">
        <w:t>EATM</w:t>
      </w:r>
      <w:r>
        <w:t xml:space="preserve"> Client</w:t>
      </w:r>
      <w:r w:rsidR="005D32F6">
        <w:t>s</w:t>
      </w:r>
      <w:r w:rsidRPr="00AA48D4">
        <w:t>) and accepts no liability to any such person.</w:t>
      </w:r>
    </w:p>
    <w:p w14:paraId="0FCF09D1" w14:textId="70FC85AF" w:rsidR="001804BA" w:rsidRPr="00AA48D4" w:rsidRDefault="001804BA" w:rsidP="001804BA">
      <w:pPr>
        <w:pStyle w:val="Schedule2"/>
        <w:rPr>
          <w:b/>
          <w:bCs/>
        </w:rPr>
      </w:pPr>
      <w:r w:rsidRPr="00581B13">
        <w:rPr>
          <w:b/>
          <w:bCs/>
          <w:i/>
          <w:iCs/>
        </w:rPr>
        <w:t>No security interest:</w:t>
      </w:r>
      <w:r w:rsidRPr="00AA48D4">
        <w:rPr>
          <w:b/>
          <w:bCs/>
        </w:rPr>
        <w:t xml:space="preserve"> </w:t>
      </w:r>
      <w:r w:rsidR="003165CE" w:rsidRPr="0082690E">
        <w:t xml:space="preserve">Without prejudice to paragraph </w:t>
      </w:r>
      <w:r w:rsidR="003165CE">
        <w:fldChar w:fldCharType="begin" w:fldLock="1"/>
      </w:r>
      <w:r w:rsidR="003165CE">
        <w:instrText xml:space="preserve"> REF _Ref167184296 \r \h </w:instrText>
      </w:r>
      <w:r w:rsidR="003165CE">
        <w:fldChar w:fldCharType="separate"/>
      </w:r>
      <w:r w:rsidR="009646BC">
        <w:t>5.2</w:t>
      </w:r>
      <w:r w:rsidR="003165CE">
        <w:fldChar w:fldCharType="end"/>
      </w:r>
      <w:r w:rsidR="003165CE" w:rsidRPr="0082690E">
        <w:t xml:space="preserve"> (</w:t>
      </w:r>
      <w:r w:rsidR="003165CE" w:rsidRPr="0082690E">
        <w:rPr>
          <w:i/>
          <w:iCs/>
        </w:rPr>
        <w:t>Lien</w:t>
      </w:r>
      <w:r w:rsidR="003165CE" w:rsidRPr="0082690E">
        <w:t>) of these Terms,</w:t>
      </w:r>
      <w:r w:rsidR="003165CE" w:rsidRPr="003165CE">
        <w:rPr>
          <w:b/>
          <w:bCs/>
        </w:rPr>
        <w:t xml:space="preserve"> </w:t>
      </w:r>
      <w:r w:rsidR="003165CE" w:rsidRPr="0082690E">
        <w:t>n</w:t>
      </w:r>
      <w:r w:rsidRPr="00581B13">
        <w:t xml:space="preserve">othing in </w:t>
      </w:r>
      <w:r w:rsidR="00BF2371">
        <w:t xml:space="preserve">these Terms </w:t>
      </w:r>
      <w:r w:rsidRPr="00581B13">
        <w:t xml:space="preserve">is intended to nor shall create a charge or other security interest in or in relation to the </w:t>
      </w:r>
      <w:r w:rsidR="00AB4ACA">
        <w:t>Segregated</w:t>
      </w:r>
      <w:r w:rsidR="005D32F6">
        <w:t xml:space="preserve"> </w:t>
      </w:r>
      <w:r>
        <w:t xml:space="preserve">Assets </w:t>
      </w:r>
      <w:r w:rsidRPr="00581B13">
        <w:t xml:space="preserve">in favour of </w:t>
      </w:r>
      <w:r>
        <w:t xml:space="preserve">the Firm, the </w:t>
      </w:r>
      <w:r w:rsidR="00272180">
        <w:t>EATM</w:t>
      </w:r>
      <w:r w:rsidR="005D32F6">
        <w:t xml:space="preserve"> </w:t>
      </w:r>
      <w:r w:rsidR="00595B69">
        <w:t>Beneficiarie</w:t>
      </w:r>
      <w:r w:rsidR="005D32F6">
        <w:t>s</w:t>
      </w:r>
      <w:r>
        <w:t xml:space="preserve"> </w:t>
      </w:r>
      <w:r w:rsidRPr="00581B13">
        <w:t xml:space="preserve">or any other person. Any right or power of </w:t>
      </w:r>
      <w:r>
        <w:t xml:space="preserve">the Firm </w:t>
      </w:r>
      <w:r w:rsidRPr="00581B13">
        <w:t xml:space="preserve">in respect of the </w:t>
      </w:r>
      <w:r w:rsidR="00AB4ACA">
        <w:t>Segregated</w:t>
      </w:r>
      <w:r w:rsidR="005D32F6">
        <w:t xml:space="preserve"> </w:t>
      </w:r>
      <w:r>
        <w:t>Assets</w:t>
      </w:r>
      <w:r w:rsidRPr="00581B13">
        <w:t xml:space="preserve"> is reserved by </w:t>
      </w:r>
      <w:r>
        <w:t xml:space="preserve">the Firm </w:t>
      </w:r>
      <w:r w:rsidRPr="00581B13">
        <w:t xml:space="preserve">under its declaration of trust contained in </w:t>
      </w:r>
      <w:r>
        <w:t>paragraph</w:t>
      </w:r>
      <w:r w:rsidR="00240DC3">
        <w:t xml:space="preserve"> </w:t>
      </w:r>
      <w:r w:rsidR="00240DC3">
        <w:fldChar w:fldCharType="begin" w:fldLock="1"/>
      </w:r>
      <w:r w:rsidR="00240DC3">
        <w:instrText xml:space="preserve"> REF _Ref151718857 \r \h </w:instrText>
      </w:r>
      <w:r w:rsidR="00240DC3">
        <w:fldChar w:fldCharType="separate"/>
      </w:r>
      <w:r w:rsidR="009646BC">
        <w:t>1</w:t>
      </w:r>
      <w:r w:rsidR="00240DC3">
        <w:fldChar w:fldCharType="end"/>
      </w:r>
      <w:r w:rsidR="00240DC3">
        <w:t xml:space="preserve"> (</w:t>
      </w:r>
      <w:r w:rsidR="000658B0">
        <w:rPr>
          <w:i/>
          <w:iCs/>
        </w:rPr>
        <w:t>Segregated Assets</w:t>
      </w:r>
      <w:r w:rsidR="00FE76BE">
        <w:rPr>
          <w:i/>
          <w:iCs/>
        </w:rPr>
        <w:t xml:space="preserve"> Arrangement</w:t>
      </w:r>
      <w:r w:rsidRPr="00581B13">
        <w:t xml:space="preserve">) </w:t>
      </w:r>
      <w:r w:rsidR="00B261A3">
        <w:t xml:space="preserve">of these Terms </w:t>
      </w:r>
      <w:r w:rsidRPr="00581B13">
        <w:t>and is not given by way of grant by the</w:t>
      </w:r>
      <w:r w:rsidR="00FE76BE" w:rsidRPr="00FE76BE">
        <w:t xml:space="preserve"> </w:t>
      </w:r>
      <w:r w:rsidR="00272180">
        <w:t>EATM</w:t>
      </w:r>
      <w:r>
        <w:t xml:space="preserve"> </w:t>
      </w:r>
      <w:r w:rsidR="00595B69">
        <w:t>Beneficiarie</w:t>
      </w:r>
      <w:r w:rsidR="00FE76BE">
        <w:t>s</w:t>
      </w:r>
      <w:r w:rsidRPr="00581B13">
        <w:t>.</w:t>
      </w:r>
    </w:p>
    <w:p w14:paraId="14B84C21" w14:textId="6BB0F5E4" w:rsidR="001804BA" w:rsidRDefault="001804BA" w:rsidP="001804BA">
      <w:pPr>
        <w:pStyle w:val="Schedule2"/>
        <w:rPr>
          <w:b/>
          <w:bCs/>
        </w:rPr>
      </w:pPr>
      <w:r w:rsidRPr="00581B13">
        <w:rPr>
          <w:b/>
          <w:bCs/>
          <w:i/>
          <w:iCs/>
        </w:rPr>
        <w:t>No duty to insure</w:t>
      </w:r>
      <w:r w:rsidRPr="004C0F61">
        <w:rPr>
          <w:b/>
          <w:bCs/>
          <w:i/>
          <w:iCs/>
        </w:rPr>
        <w:t>:</w:t>
      </w:r>
      <w:r w:rsidRPr="00AA48D4">
        <w:rPr>
          <w:b/>
          <w:bCs/>
        </w:rPr>
        <w:t xml:space="preserve"> </w:t>
      </w:r>
      <w:r>
        <w:t>The Firm</w:t>
      </w:r>
      <w:r w:rsidRPr="00581B13">
        <w:t xml:space="preserve"> shall have no obligation to insure the </w:t>
      </w:r>
      <w:r w:rsidR="00AB4ACA">
        <w:t>Segregated</w:t>
      </w:r>
      <w:r w:rsidR="00094A99">
        <w:t xml:space="preserve"> Assets</w:t>
      </w:r>
      <w:r w:rsidRPr="00581B13">
        <w:t xml:space="preserve"> or any part of it against risks of loss or damage due to any event.</w:t>
      </w:r>
      <w:r w:rsidRPr="00AA48D4">
        <w:rPr>
          <w:b/>
          <w:bCs/>
        </w:rPr>
        <w:t xml:space="preserve"> </w:t>
      </w:r>
    </w:p>
    <w:p w14:paraId="2A9DA680" w14:textId="27E3223C" w:rsidR="00E2714A" w:rsidRPr="00AA48D4" w:rsidRDefault="00E2714A" w:rsidP="001804BA">
      <w:pPr>
        <w:pStyle w:val="Schedule2"/>
        <w:rPr>
          <w:b/>
          <w:bCs/>
        </w:rPr>
      </w:pPr>
      <w:r>
        <w:rPr>
          <w:b/>
          <w:bCs/>
          <w:i/>
          <w:iCs/>
        </w:rPr>
        <w:t>Instructions:</w:t>
      </w:r>
      <w:r>
        <w:rPr>
          <w:b/>
          <w:bCs/>
        </w:rPr>
        <w:t xml:space="preserve"> </w:t>
      </w:r>
      <w:r>
        <w:t>The Firm, in</w:t>
      </w:r>
      <w:r w:rsidRPr="004327E0">
        <w:t xml:space="preserve"> performing functions or services governed by a</w:t>
      </w:r>
      <w:r w:rsidR="001E7A8B">
        <w:t>n</w:t>
      </w:r>
      <w:r w:rsidRPr="004327E0">
        <w:t xml:space="preserve"> </w:t>
      </w:r>
      <w:r w:rsidR="00272180">
        <w:t>EATM</w:t>
      </w:r>
      <w:r w:rsidRPr="004327E0">
        <w:t xml:space="preserve"> Agreement in relation to the Segregated Assets recorded in the books and records of the Firm</w:t>
      </w:r>
      <w:r>
        <w:t xml:space="preserve"> as held</w:t>
      </w:r>
      <w:r w:rsidRPr="004327E0">
        <w:t xml:space="preserve"> for the account of a</w:t>
      </w:r>
      <w:r w:rsidR="001E7A8B">
        <w:t>n</w:t>
      </w:r>
      <w:r w:rsidRPr="004327E0">
        <w:t xml:space="preserve"> </w:t>
      </w:r>
      <w:r w:rsidR="00272180">
        <w:t>EATM</w:t>
      </w:r>
      <w:r w:rsidRPr="004327E0">
        <w:t xml:space="preserve"> </w:t>
      </w:r>
      <w:r w:rsidR="00595B69">
        <w:t>Beneficiary</w:t>
      </w:r>
      <w:r w:rsidRPr="004327E0">
        <w:t xml:space="preserve">, </w:t>
      </w:r>
      <w:r>
        <w:t xml:space="preserve">may </w:t>
      </w:r>
      <w:r w:rsidRPr="004327E0">
        <w:t xml:space="preserve">act on the exclusive instructions of that </w:t>
      </w:r>
      <w:r w:rsidR="00272180">
        <w:t>EATM</w:t>
      </w:r>
      <w:r w:rsidRPr="004327E0">
        <w:t xml:space="preserve"> </w:t>
      </w:r>
      <w:r w:rsidR="00595B69">
        <w:t>Beneficiary</w:t>
      </w:r>
      <w:r w:rsidR="00595B69" w:rsidRPr="004327E0">
        <w:t xml:space="preserve"> </w:t>
      </w:r>
      <w:r w:rsidRPr="004327E0">
        <w:t>and</w:t>
      </w:r>
      <w:r>
        <w:t xml:space="preserve"> </w:t>
      </w:r>
      <w:r w:rsidRPr="004327E0">
        <w:t xml:space="preserve">need not have regard to the consequences of such instructions on other </w:t>
      </w:r>
      <w:r w:rsidR="00272180">
        <w:t>EATM</w:t>
      </w:r>
      <w:r w:rsidRPr="004327E0">
        <w:t xml:space="preserve"> </w:t>
      </w:r>
      <w:r w:rsidR="00D50C51">
        <w:t>Beneficiari</w:t>
      </w:r>
      <w:r w:rsidR="00D50C51" w:rsidRPr="004327E0">
        <w:t>es</w:t>
      </w:r>
      <w:r w:rsidR="00595B69">
        <w:t xml:space="preserve"> </w:t>
      </w:r>
      <w:r>
        <w:t xml:space="preserve">(provided that the Firm may not do anything which </w:t>
      </w:r>
      <w:r w:rsidRPr="00B35ADD">
        <w:t>alter</w:t>
      </w:r>
      <w:r>
        <w:t>s</w:t>
      </w:r>
      <w:r w:rsidRPr="00B35ADD">
        <w:t xml:space="preserve"> the nature or extent of the beneficial interest of </w:t>
      </w:r>
      <w:r>
        <w:t xml:space="preserve">any </w:t>
      </w:r>
      <w:r w:rsidR="00272180">
        <w:t>EATM</w:t>
      </w:r>
      <w:r>
        <w:t xml:space="preserve"> </w:t>
      </w:r>
      <w:r w:rsidR="00595B69">
        <w:t>Beneficiarie</w:t>
      </w:r>
      <w:r w:rsidR="00515E79">
        <w:t>s</w:t>
      </w:r>
      <w:r>
        <w:t xml:space="preserve"> except in accordance with paragraph </w:t>
      </w:r>
      <w:r>
        <w:fldChar w:fldCharType="begin" w:fldLock="1"/>
      </w:r>
      <w:r>
        <w:instrText xml:space="preserve"> REF _Ref151493073 \r \h </w:instrText>
      </w:r>
      <w:r>
        <w:fldChar w:fldCharType="separate"/>
      </w:r>
      <w:r w:rsidR="009646BC">
        <w:t>6.2</w:t>
      </w:r>
      <w:r>
        <w:fldChar w:fldCharType="end"/>
      </w:r>
      <w:r>
        <w:t xml:space="preserve"> (</w:t>
      </w:r>
      <w:r>
        <w:rPr>
          <w:i/>
          <w:iCs/>
        </w:rPr>
        <w:t>Amendments with agreement</w:t>
      </w:r>
      <w:r>
        <w:t>) of these Terms)</w:t>
      </w:r>
      <w:r w:rsidRPr="004327E0">
        <w:t>.</w:t>
      </w:r>
      <w:r w:rsidR="00AB7698">
        <w:t xml:space="preserve"> </w:t>
      </w:r>
      <w:r w:rsidR="008B022D">
        <w:t xml:space="preserve">Where several identical Segregated Assets are recorded in the books and records of the Firm as held for the account of more than one </w:t>
      </w:r>
      <w:r w:rsidR="00272180">
        <w:t>EATM</w:t>
      </w:r>
      <w:r w:rsidR="008B022D">
        <w:t xml:space="preserve"> Beneficiary, the previous sentence shall apply to the portion of such Segregated Assets held for each such </w:t>
      </w:r>
      <w:r w:rsidR="00272180">
        <w:t>EATM</w:t>
      </w:r>
      <w:r w:rsidR="008B022D">
        <w:t xml:space="preserve"> Beneficiary. </w:t>
      </w:r>
    </w:p>
    <w:p w14:paraId="7D4D401D" w14:textId="77777777" w:rsidR="001804BA" w:rsidRPr="00C5576C" w:rsidRDefault="001804BA" w:rsidP="0082690E">
      <w:pPr>
        <w:pStyle w:val="Schedule1"/>
        <w:keepNext/>
        <w:rPr>
          <w:b/>
          <w:bCs/>
        </w:rPr>
      </w:pPr>
      <w:bookmarkStart w:id="179" w:name="_Ref160542342"/>
      <w:r w:rsidRPr="00C5576C">
        <w:rPr>
          <w:b/>
          <w:bCs/>
        </w:rPr>
        <w:t>Firm’s protections</w:t>
      </w:r>
      <w:bookmarkEnd w:id="179"/>
    </w:p>
    <w:p w14:paraId="17A1863C" w14:textId="334823A0" w:rsidR="001804BA" w:rsidRPr="00C5576C" w:rsidRDefault="001804BA" w:rsidP="0082690E">
      <w:pPr>
        <w:pStyle w:val="Schedule1"/>
        <w:keepNext/>
        <w:numPr>
          <w:ilvl w:val="0"/>
          <w:numId w:val="0"/>
        </w:numPr>
        <w:ind w:left="680"/>
      </w:pPr>
      <w:r w:rsidRPr="00C5576C">
        <w:t xml:space="preserve">In addition to the rights, powers, authorities and discretions set out in </w:t>
      </w:r>
      <w:r w:rsidR="00BF2371">
        <w:t xml:space="preserve">these Terms </w:t>
      </w:r>
      <w:r w:rsidRPr="00C5576C">
        <w:t>and notwithstanding anything to the contrary expressed or implied herein:</w:t>
      </w:r>
    </w:p>
    <w:p w14:paraId="2AA75C47" w14:textId="2B9105EE" w:rsidR="001804BA" w:rsidRPr="00AA48D4" w:rsidRDefault="001A2B7C" w:rsidP="001804BA">
      <w:pPr>
        <w:pStyle w:val="Schedule2"/>
      </w:pPr>
      <w:r>
        <w:rPr>
          <w:b/>
          <w:bCs/>
          <w:i/>
          <w:iCs/>
        </w:rPr>
        <w:t>Occurrence of an event</w:t>
      </w:r>
      <w:r w:rsidR="00E72F39" w:rsidRPr="002E6D22">
        <w:rPr>
          <w:b/>
          <w:bCs/>
          <w:i/>
          <w:iCs/>
        </w:rPr>
        <w:t>:</w:t>
      </w:r>
      <w:r w:rsidR="00E72F39">
        <w:t xml:space="preserve"> </w:t>
      </w:r>
      <w:r w:rsidR="005548EC">
        <w:t xml:space="preserve">The Firm </w:t>
      </w:r>
      <w:r w:rsidR="001804BA" w:rsidRPr="00AA48D4">
        <w:t xml:space="preserve">may assume that no event, notification of which any other party is bound hereunder to give to </w:t>
      </w:r>
      <w:r w:rsidR="001804BA">
        <w:t>the Firm</w:t>
      </w:r>
      <w:r w:rsidR="001804BA" w:rsidRPr="00AA48D4">
        <w:t>, has occurred unless it has</w:t>
      </w:r>
      <w:r w:rsidR="001804BA">
        <w:t xml:space="preserve"> </w:t>
      </w:r>
      <w:r w:rsidR="001804BA" w:rsidRPr="00AA48D4">
        <w:t>actual knowledge or actual notice to the contrary and</w:t>
      </w:r>
      <w:r w:rsidR="001804BA">
        <w:t xml:space="preserve"> the Firm</w:t>
      </w:r>
      <w:r w:rsidR="001804BA" w:rsidRPr="00AA48D4">
        <w:t xml:space="preserve"> shall not be bound to enquire as to the occurrence or otherwise of such an event;</w:t>
      </w:r>
    </w:p>
    <w:p w14:paraId="718BD746" w14:textId="3D546C03" w:rsidR="001804BA" w:rsidRPr="00AA48D4" w:rsidRDefault="00613377" w:rsidP="001804BA">
      <w:pPr>
        <w:pStyle w:val="Schedule2"/>
        <w:rPr>
          <w:b/>
          <w:bCs/>
        </w:rPr>
      </w:pPr>
      <w:r>
        <w:rPr>
          <w:b/>
          <w:bCs/>
          <w:i/>
          <w:iCs/>
        </w:rPr>
        <w:t>No obligation to act</w:t>
      </w:r>
      <w:r w:rsidR="00E72F39" w:rsidRPr="002E6D22">
        <w:rPr>
          <w:b/>
          <w:bCs/>
          <w:i/>
          <w:iCs/>
        </w:rPr>
        <w:t>:</w:t>
      </w:r>
      <w:r w:rsidR="00E72F39">
        <w:t xml:space="preserve"> </w:t>
      </w:r>
      <w:r w:rsidR="005548EC">
        <w:t xml:space="preserve">The Firm </w:t>
      </w:r>
      <w:r w:rsidR="001804BA" w:rsidRPr="00C5576C">
        <w:t xml:space="preserve">shall not be obliged to comply with any direction of </w:t>
      </w:r>
      <w:r w:rsidR="00B45370">
        <w:t xml:space="preserve">any </w:t>
      </w:r>
      <w:r w:rsidR="00272180">
        <w:t>EATM</w:t>
      </w:r>
      <w:r w:rsidR="00B45370">
        <w:t xml:space="preserve"> </w:t>
      </w:r>
      <w:r w:rsidR="00595B69">
        <w:t>Beneficiary</w:t>
      </w:r>
      <w:r w:rsidR="00595B69" w:rsidRPr="00C5576C">
        <w:t xml:space="preserve"> </w:t>
      </w:r>
      <w:r w:rsidR="001804BA" w:rsidRPr="00C5576C">
        <w:t xml:space="preserve">or to take any other action as the Firm which, in its opinion, would be contrary to any </w:t>
      </w:r>
      <w:r w:rsidR="00756DB9">
        <w:t>a</w:t>
      </w:r>
      <w:r w:rsidR="001804BA" w:rsidRPr="00C5576C">
        <w:t xml:space="preserve">pplicable </w:t>
      </w:r>
      <w:r w:rsidR="00756DB9">
        <w:t>l</w:t>
      </w:r>
      <w:r w:rsidR="001804BA" w:rsidRPr="00C5576C">
        <w:t>aw</w:t>
      </w:r>
      <w:r w:rsidR="001804BA">
        <w:t xml:space="preserve">, </w:t>
      </w:r>
      <w:r w:rsidR="00936746">
        <w:t>any</w:t>
      </w:r>
      <w:r w:rsidR="00936746" w:rsidRPr="00C5576C">
        <w:t xml:space="preserve"> </w:t>
      </w:r>
      <w:r w:rsidR="00272180">
        <w:t>EATM</w:t>
      </w:r>
      <w:r w:rsidR="00936746" w:rsidRPr="00936746">
        <w:t xml:space="preserve"> </w:t>
      </w:r>
      <w:r w:rsidR="001804BA" w:rsidRPr="00C5576C">
        <w:t>Agreement</w:t>
      </w:r>
      <w:r w:rsidR="001804BA">
        <w:t xml:space="preserve"> or the</w:t>
      </w:r>
      <w:r w:rsidR="00800DA2">
        <w:t xml:space="preserve"> CCP</w:t>
      </w:r>
      <w:r w:rsidR="001804BA">
        <w:t xml:space="preserve"> Rules of </w:t>
      </w:r>
      <w:r w:rsidR="00C04868">
        <w:t>a</w:t>
      </w:r>
      <w:r w:rsidR="00AF4E14">
        <w:t xml:space="preserve">ny </w:t>
      </w:r>
      <w:r w:rsidR="00272180">
        <w:t>EATM</w:t>
      </w:r>
      <w:r w:rsidR="00AF4E14">
        <w:t xml:space="preserve"> CCP</w:t>
      </w:r>
      <w:r w:rsidR="001804BA" w:rsidRPr="00C5576C">
        <w:t>.</w:t>
      </w:r>
      <w:r w:rsidR="001804BA" w:rsidRPr="00AA48D4">
        <w:rPr>
          <w:b/>
          <w:bCs/>
        </w:rPr>
        <w:t xml:space="preserve"> </w:t>
      </w:r>
      <w:r w:rsidR="001804BA" w:rsidRPr="00C5576C">
        <w:t>The Firm may do anything which is, in its reasonable opinion, necessary to comply with any such law or perform its obligations under such documentation;</w:t>
      </w:r>
    </w:p>
    <w:p w14:paraId="5CEF79F5" w14:textId="66647155" w:rsidR="001804BA" w:rsidRPr="00AA48D4" w:rsidRDefault="00B1029F" w:rsidP="002E043A">
      <w:pPr>
        <w:pStyle w:val="Schedule2"/>
      </w:pPr>
      <w:r>
        <w:rPr>
          <w:b/>
          <w:bCs/>
          <w:i/>
          <w:iCs/>
        </w:rPr>
        <w:lastRenderedPageBreak/>
        <w:t>Sums received for Fir</w:t>
      </w:r>
      <w:r w:rsidR="00E36F7B">
        <w:rPr>
          <w:b/>
          <w:bCs/>
          <w:i/>
          <w:iCs/>
        </w:rPr>
        <w:t>m’s account</w:t>
      </w:r>
      <w:r w:rsidR="00E72F39" w:rsidRPr="002E6D22">
        <w:rPr>
          <w:b/>
          <w:bCs/>
          <w:i/>
          <w:iCs/>
        </w:rPr>
        <w:t>:</w:t>
      </w:r>
      <w:r w:rsidR="00E72F39">
        <w:t xml:space="preserve"> </w:t>
      </w:r>
      <w:r w:rsidR="005548EC">
        <w:t xml:space="preserve">The Firm </w:t>
      </w:r>
      <w:r w:rsidR="001804BA" w:rsidRPr="00C5576C">
        <w:t>shall not be bound</w:t>
      </w:r>
      <w:r w:rsidR="0095264C">
        <w:t xml:space="preserve"> under </w:t>
      </w:r>
      <w:r w:rsidR="00BF2371">
        <w:t xml:space="preserve">these Terms </w:t>
      </w:r>
      <w:r w:rsidR="001804BA" w:rsidRPr="00C5576C">
        <w:t xml:space="preserve">to account to </w:t>
      </w:r>
      <w:r w:rsidR="005B2E1F">
        <w:t xml:space="preserve">any </w:t>
      </w:r>
      <w:r w:rsidR="00272180">
        <w:t>EATM</w:t>
      </w:r>
      <w:r w:rsidR="005B2E1F" w:rsidRPr="00C5576C">
        <w:t xml:space="preserve"> </w:t>
      </w:r>
      <w:r w:rsidR="00595B69">
        <w:t>Beneficiary</w:t>
      </w:r>
      <w:r w:rsidR="001804BA" w:rsidRPr="00C5576C">
        <w:t xml:space="preserve"> for any sum or the profit element of any sum received by it for its own account; </w:t>
      </w:r>
      <w:r w:rsidR="002E043A">
        <w:t>and</w:t>
      </w:r>
    </w:p>
    <w:p w14:paraId="6300801B" w14:textId="0452B4CA" w:rsidR="001804BA" w:rsidRPr="00AA48D4" w:rsidRDefault="00DB309D" w:rsidP="001804BA">
      <w:pPr>
        <w:pStyle w:val="Schedule2"/>
      </w:pPr>
      <w:bookmarkStart w:id="180" w:name="_Ref160542420"/>
      <w:r w:rsidRPr="00BE157C">
        <w:rPr>
          <w:b/>
          <w:bCs/>
          <w:i/>
          <w:iCs/>
        </w:rPr>
        <w:t>Contractual amendments:</w:t>
      </w:r>
      <w:r>
        <w:rPr>
          <w:i/>
          <w:iCs/>
        </w:rPr>
        <w:t xml:space="preserve"> </w:t>
      </w:r>
      <w:r w:rsidR="005548EC">
        <w:t xml:space="preserve">The Firm </w:t>
      </w:r>
      <w:r w:rsidR="004B3662">
        <w:t>may contractually agree with a</w:t>
      </w:r>
      <w:r w:rsidR="001E7A8B">
        <w:t>n</w:t>
      </w:r>
      <w:r w:rsidR="004B3662">
        <w:t xml:space="preserve"> </w:t>
      </w:r>
      <w:r w:rsidR="00272180">
        <w:t>EATM</w:t>
      </w:r>
      <w:r w:rsidR="004B3662">
        <w:t xml:space="preserve"> Client </w:t>
      </w:r>
      <w:r w:rsidR="00C84D89">
        <w:t xml:space="preserve">to amend </w:t>
      </w:r>
      <w:r w:rsidR="0040622A">
        <w:t xml:space="preserve">or release any of </w:t>
      </w:r>
      <w:r w:rsidR="00C84D89">
        <w:t>t</w:t>
      </w:r>
      <w:r w:rsidR="00D65B80">
        <w:t>he</w:t>
      </w:r>
      <w:r w:rsidR="00C84D89">
        <w:t xml:space="preserve"> equitable powers exercisable</w:t>
      </w:r>
      <w:r w:rsidR="00336CA0">
        <w:t>, or duties owed,</w:t>
      </w:r>
      <w:r w:rsidR="00C84D89">
        <w:t xml:space="preserve"> </w:t>
      </w:r>
      <w:r w:rsidR="00D65B80" w:rsidRPr="00D65B80">
        <w:t xml:space="preserve">by the Firm in respect of </w:t>
      </w:r>
      <w:r w:rsidR="00D65B80">
        <w:t>such</w:t>
      </w:r>
      <w:r w:rsidR="00D65B80" w:rsidRPr="00D65B80">
        <w:t xml:space="preserve"> </w:t>
      </w:r>
      <w:r w:rsidR="00272180">
        <w:t>EATM</w:t>
      </w:r>
      <w:r w:rsidR="00D65B80" w:rsidRPr="00D65B80">
        <w:t xml:space="preserve"> Client</w:t>
      </w:r>
      <w:r w:rsidR="007E5101">
        <w:t xml:space="preserve"> that arise pursuant to these Terms</w:t>
      </w:r>
      <w:r w:rsidR="0040622A">
        <w:t xml:space="preserve"> or undertake that it </w:t>
      </w:r>
      <w:r w:rsidR="00B7523D">
        <w:t>will use its powers in a certain way in the future, in each case in a manner that binds only the Firm and such</w:t>
      </w:r>
      <w:r w:rsidR="00B545DC" w:rsidRPr="00B545DC">
        <w:t xml:space="preserve"> </w:t>
      </w:r>
      <w:r w:rsidR="00272180">
        <w:t>EATM</w:t>
      </w:r>
      <w:r w:rsidR="00B7523D">
        <w:t xml:space="preserve"> Client</w:t>
      </w:r>
      <w:r w:rsidR="00D65B80" w:rsidRPr="00D65B80">
        <w:t xml:space="preserve"> </w:t>
      </w:r>
      <w:r w:rsidR="00AE01E2">
        <w:t>and</w:t>
      </w:r>
      <w:r w:rsidR="005C0DAB">
        <w:t xml:space="preserve"> the Firm</w:t>
      </w:r>
      <w:r w:rsidR="001A19F5">
        <w:t xml:space="preserve"> </w:t>
      </w:r>
      <w:r w:rsidR="00396BD1">
        <w:t xml:space="preserve">shall not incur any liability to </w:t>
      </w:r>
      <w:r w:rsidR="0060295C">
        <w:t xml:space="preserve">any </w:t>
      </w:r>
      <w:r w:rsidR="00272180">
        <w:t>EATM</w:t>
      </w:r>
      <w:r w:rsidR="00396BD1">
        <w:t xml:space="preserve"> Client where in exercising its powers, and fulfilling any duties and obligations, under </w:t>
      </w:r>
      <w:r w:rsidR="00BF2371">
        <w:t>these Terms</w:t>
      </w:r>
      <w:r w:rsidR="0023404F">
        <w:t xml:space="preserve"> </w:t>
      </w:r>
      <w:r w:rsidR="008F10AB">
        <w:t xml:space="preserve">to the extent that </w:t>
      </w:r>
      <w:r w:rsidR="0023404F">
        <w:t>the Firm</w:t>
      </w:r>
      <w:r w:rsidR="00396BD1">
        <w:t xml:space="preserve"> acts in accordance with the contractual provisions contained in </w:t>
      </w:r>
      <w:r w:rsidR="008F10AB">
        <w:t xml:space="preserve">the relevant </w:t>
      </w:r>
      <w:r w:rsidR="00272180">
        <w:t>EATM</w:t>
      </w:r>
      <w:r w:rsidR="008F10AB">
        <w:t xml:space="preserve"> </w:t>
      </w:r>
      <w:r w:rsidR="00396BD1">
        <w:t>Agreement.</w:t>
      </w:r>
      <w:bookmarkEnd w:id="180"/>
    </w:p>
    <w:p w14:paraId="253F6A98" w14:textId="77777777" w:rsidR="001804BA" w:rsidRPr="00AA48D4" w:rsidRDefault="001804BA" w:rsidP="00BE157C">
      <w:pPr>
        <w:pStyle w:val="Schedule1"/>
        <w:keepNext/>
        <w:rPr>
          <w:b/>
          <w:bCs/>
        </w:rPr>
      </w:pPr>
      <w:r w:rsidRPr="00AA48D4">
        <w:rPr>
          <w:b/>
          <w:bCs/>
        </w:rPr>
        <w:t xml:space="preserve">Discharge of </w:t>
      </w:r>
      <w:r>
        <w:rPr>
          <w:b/>
          <w:bCs/>
        </w:rPr>
        <w:t>the Firm</w:t>
      </w:r>
      <w:r w:rsidRPr="00AA48D4">
        <w:rPr>
          <w:b/>
          <w:bCs/>
        </w:rPr>
        <w:t>’s duties</w:t>
      </w:r>
    </w:p>
    <w:p w14:paraId="0CE91A72" w14:textId="20BCD99A" w:rsidR="001804BA" w:rsidRDefault="00D06644" w:rsidP="00BE157C">
      <w:pPr>
        <w:pStyle w:val="Schedule1"/>
        <w:keepNext/>
        <w:numPr>
          <w:ilvl w:val="0"/>
          <w:numId w:val="0"/>
        </w:numPr>
        <w:ind w:left="680"/>
      </w:pPr>
      <w:r w:rsidRPr="00D06644">
        <w:t xml:space="preserve">To the greatest extent permitted by applicable law and without prejudice to any liability or cause of action which may already have arisen or accrued prior to such date, </w:t>
      </w:r>
      <w:r>
        <w:t>a</w:t>
      </w:r>
      <w:r w:rsidR="001804BA" w:rsidRPr="00B35ADD">
        <w:t xml:space="preserve">ll duties and obligations of </w:t>
      </w:r>
      <w:r w:rsidR="001804BA">
        <w:t>the Firm</w:t>
      </w:r>
      <w:r w:rsidR="001804BA" w:rsidRPr="00B35ADD">
        <w:t xml:space="preserve"> (whether actual or contingent or prospective, owing or which may become owing to </w:t>
      </w:r>
      <w:r w:rsidR="008A52A4" w:rsidRPr="008A52A4">
        <w:t xml:space="preserve">any </w:t>
      </w:r>
      <w:r w:rsidR="00272180">
        <w:t>EATM</w:t>
      </w:r>
      <w:r w:rsidR="008A52A4" w:rsidRPr="008A52A4">
        <w:t xml:space="preserve"> </w:t>
      </w:r>
      <w:r w:rsidR="001804BA" w:rsidRPr="00B35ADD">
        <w:t xml:space="preserve">Client) under </w:t>
      </w:r>
      <w:r w:rsidR="00BF2371">
        <w:t>these Terms</w:t>
      </w:r>
      <w:r w:rsidR="001804BA" w:rsidRPr="00B35ADD">
        <w:t xml:space="preserve"> shall be discharged </w:t>
      </w:r>
      <w:r w:rsidR="008A52A4" w:rsidRPr="008A52A4">
        <w:t xml:space="preserve">if and to the extent that there cease to be any </w:t>
      </w:r>
      <w:r w:rsidR="003A5459">
        <w:t>Segregated</w:t>
      </w:r>
      <w:r w:rsidR="008A52A4" w:rsidRPr="008A52A4">
        <w:t xml:space="preserve"> Assets that are held by the Firm for the </w:t>
      </w:r>
      <w:r w:rsidR="00272180">
        <w:t>EATM</w:t>
      </w:r>
      <w:r w:rsidR="008A52A4" w:rsidRPr="008A52A4">
        <w:t xml:space="preserve"> Clients</w:t>
      </w:r>
      <w:r w:rsidR="003A5459">
        <w:t>.</w:t>
      </w:r>
    </w:p>
    <w:p w14:paraId="1CF03B08" w14:textId="2DB8B6B5" w:rsidR="002C2497" w:rsidRDefault="002C2497" w:rsidP="001804BA">
      <w:pPr>
        <w:pStyle w:val="Schedule1"/>
        <w:rPr>
          <w:b/>
          <w:bCs/>
        </w:rPr>
      </w:pPr>
      <w:bookmarkStart w:id="181" w:name="_Ref151487028"/>
      <w:bookmarkStart w:id="182" w:name="_Ref170994989"/>
      <w:r w:rsidRPr="001A6624">
        <w:rPr>
          <w:b/>
          <w:bCs/>
        </w:rPr>
        <w:t>Indemnity</w:t>
      </w:r>
      <w:bookmarkEnd w:id="181"/>
      <w:r w:rsidR="00837AED">
        <w:rPr>
          <w:b/>
          <w:bCs/>
        </w:rPr>
        <w:t xml:space="preserve"> and Lien</w:t>
      </w:r>
      <w:bookmarkEnd w:id="182"/>
    </w:p>
    <w:p w14:paraId="573D82B5" w14:textId="04123581" w:rsidR="00C2466D" w:rsidRDefault="00800613" w:rsidP="00C2466D">
      <w:pPr>
        <w:pStyle w:val="Schedule2"/>
      </w:pPr>
      <w:bookmarkStart w:id="183" w:name="_Ref161350975"/>
      <w:bookmarkStart w:id="184" w:name="_Ref160560183"/>
      <w:r w:rsidRPr="00BE157C">
        <w:rPr>
          <w:b/>
          <w:bCs/>
          <w:i/>
          <w:iCs/>
        </w:rPr>
        <w:t>Indemnity:</w:t>
      </w:r>
      <w:r>
        <w:rPr>
          <w:i/>
          <w:iCs/>
        </w:rPr>
        <w:t xml:space="preserve"> </w:t>
      </w:r>
      <w:r w:rsidR="005D1734">
        <w:t>The</w:t>
      </w:r>
      <w:r w:rsidR="001C7E3A" w:rsidRPr="001C7E3A">
        <w:t xml:space="preserve"> Firm </w:t>
      </w:r>
      <w:r w:rsidR="005D1734">
        <w:t xml:space="preserve">shall be entitled to indemnification from the Segregated Assets for </w:t>
      </w:r>
      <w:r w:rsidR="001C7E3A" w:rsidRPr="001C7E3A">
        <w:t>any amounts properly incurred by the Firm</w:t>
      </w:r>
      <w:r w:rsidR="005D1734">
        <w:t xml:space="preserve"> in its capacity as trustee of the Segregated </w:t>
      </w:r>
      <w:r w:rsidR="00F0277F">
        <w:t>Assets</w:t>
      </w:r>
      <w:r w:rsidR="005D1734">
        <w:t xml:space="preserve"> Arrangement</w:t>
      </w:r>
      <w:r w:rsidR="002A44E3">
        <w:t>,</w:t>
      </w:r>
      <w:r w:rsidR="001C7E3A" w:rsidRPr="001C7E3A">
        <w:t xml:space="preserve"> whether actual or contingent, present or future, including any payments or deliveries that are due from the Firm to the CCP pursuant to any </w:t>
      </w:r>
      <w:r w:rsidR="00272180">
        <w:t>EATM</w:t>
      </w:r>
      <w:r w:rsidR="001C7E3A" w:rsidRPr="001C7E3A">
        <w:t xml:space="preserve"> Transaction (each a “</w:t>
      </w:r>
      <w:r w:rsidR="00A80DBC">
        <w:rPr>
          <w:b/>
          <w:bCs/>
        </w:rPr>
        <w:t>Segregated Assets</w:t>
      </w:r>
      <w:r w:rsidR="001C7E3A" w:rsidRPr="00C17850">
        <w:rPr>
          <w:b/>
          <w:bCs/>
        </w:rPr>
        <w:t xml:space="preserve"> Arrangement Liability</w:t>
      </w:r>
      <w:r w:rsidR="001C7E3A" w:rsidRPr="001C7E3A">
        <w:t>”)</w:t>
      </w:r>
      <w:r w:rsidR="00A86C10">
        <w:t>.</w:t>
      </w:r>
      <w:bookmarkEnd w:id="183"/>
      <w:bookmarkEnd w:id="184"/>
    </w:p>
    <w:p w14:paraId="549E8C88" w14:textId="4B4D9FD9" w:rsidR="002C2497" w:rsidRPr="001A6624" w:rsidRDefault="00800613" w:rsidP="002E4386">
      <w:pPr>
        <w:pStyle w:val="Schedule2"/>
      </w:pPr>
      <w:bookmarkStart w:id="185" w:name="_Ref167184296"/>
      <w:r>
        <w:rPr>
          <w:b/>
          <w:bCs/>
          <w:i/>
          <w:iCs/>
        </w:rPr>
        <w:t>Lien</w:t>
      </w:r>
      <w:r w:rsidRPr="002E6D22">
        <w:rPr>
          <w:b/>
          <w:bCs/>
          <w:i/>
          <w:iCs/>
        </w:rPr>
        <w:t>:</w:t>
      </w:r>
      <w:r w:rsidR="00A86C10" w:rsidRPr="00A86C10">
        <w:t xml:space="preserve"> </w:t>
      </w:r>
      <w:r w:rsidR="002A44E3">
        <w:t>T</w:t>
      </w:r>
      <w:r w:rsidR="00C2466D">
        <w:t xml:space="preserve">he Firm </w:t>
      </w:r>
      <w:r w:rsidR="00BF49FE">
        <w:t>has an equitable</w:t>
      </w:r>
      <w:r w:rsidR="00C2466D">
        <w:t xml:space="preserve"> lien in respect of the Segregated Assets</w:t>
      </w:r>
      <w:r w:rsidR="008E5CDC">
        <w:t xml:space="preserve"> and shall be entitled to retain the Segregated Ass</w:t>
      </w:r>
      <w:r w:rsidR="00691876">
        <w:t>e</w:t>
      </w:r>
      <w:r w:rsidR="008E5CDC">
        <w:t>ts</w:t>
      </w:r>
      <w:r w:rsidR="00C2466D">
        <w:t xml:space="preserve"> to the extent</w:t>
      </w:r>
      <w:r w:rsidR="00BF49FE">
        <w:t xml:space="preserve"> reasonably necessary to secure the Firm against</w:t>
      </w:r>
      <w:r w:rsidR="00C2466D">
        <w:t xml:space="preserve"> any</w:t>
      </w:r>
      <w:r w:rsidR="001C57E4" w:rsidRPr="00BE157C">
        <w:t xml:space="preserve"> Segregated Assets Arrangement Liability</w:t>
      </w:r>
      <w:r w:rsidR="001C7E3A">
        <w:t>.</w:t>
      </w:r>
      <w:bookmarkEnd w:id="185"/>
    </w:p>
    <w:p w14:paraId="65A836FE" w14:textId="4BA8AA27" w:rsidR="001804BA" w:rsidRPr="00B35ADD" w:rsidRDefault="001804BA" w:rsidP="001804BA">
      <w:pPr>
        <w:pStyle w:val="Schedule1"/>
      </w:pPr>
      <w:bookmarkStart w:id="186" w:name="_Ref170912584"/>
      <w:r w:rsidRPr="00B35ADD">
        <w:rPr>
          <w:b/>
          <w:bCs/>
        </w:rPr>
        <w:t>Amendments</w:t>
      </w:r>
      <w:bookmarkEnd w:id="186"/>
      <w:r w:rsidR="000C3873">
        <w:rPr>
          <w:b/>
          <w:bCs/>
        </w:rPr>
        <w:t xml:space="preserve"> </w:t>
      </w:r>
    </w:p>
    <w:p w14:paraId="6F69F4A1" w14:textId="48A17100" w:rsidR="005275C1" w:rsidRDefault="007410E6" w:rsidP="00BE157C">
      <w:pPr>
        <w:pStyle w:val="Schedule2"/>
      </w:pPr>
      <w:r>
        <w:rPr>
          <w:b/>
          <w:bCs/>
          <w:i/>
          <w:iCs/>
        </w:rPr>
        <w:t>Amendments without agreement</w:t>
      </w:r>
      <w:r w:rsidR="00E72F39" w:rsidRPr="00BE157C">
        <w:rPr>
          <w:b/>
          <w:bCs/>
          <w:i/>
          <w:iCs/>
        </w:rPr>
        <w:t>:</w:t>
      </w:r>
      <w:r w:rsidR="00E72F39">
        <w:t xml:space="preserve"> </w:t>
      </w:r>
      <w:r w:rsidR="005275C1" w:rsidRPr="005275C1">
        <w:t>Subject to paragraph</w:t>
      </w:r>
      <w:r w:rsidR="00203B72">
        <w:t>s</w:t>
      </w:r>
      <w:r w:rsidR="004E3127">
        <w:t xml:space="preserve"> </w:t>
      </w:r>
      <w:r w:rsidR="005D36DE">
        <w:fldChar w:fldCharType="begin" w:fldLock="1"/>
      </w:r>
      <w:r w:rsidR="005D36DE">
        <w:instrText xml:space="preserve"> REF _Ref160542420 \r \h </w:instrText>
      </w:r>
      <w:r w:rsidR="005D36DE">
        <w:fldChar w:fldCharType="separate"/>
      </w:r>
      <w:r w:rsidR="009646BC">
        <w:t>3.4</w:t>
      </w:r>
      <w:r w:rsidR="005D36DE">
        <w:fldChar w:fldCharType="end"/>
      </w:r>
      <w:r w:rsidR="00D077D2">
        <w:t xml:space="preserve"> </w:t>
      </w:r>
      <w:r w:rsidR="00DB309D">
        <w:t>(</w:t>
      </w:r>
      <w:r w:rsidR="00DB309D" w:rsidRPr="00045EBC">
        <w:rPr>
          <w:i/>
          <w:iCs/>
        </w:rPr>
        <w:t>Contractual amendments</w:t>
      </w:r>
      <w:r w:rsidR="00DB309D">
        <w:t xml:space="preserve">) </w:t>
      </w:r>
      <w:r w:rsidR="004E3127">
        <w:t>and</w:t>
      </w:r>
      <w:r w:rsidR="005275C1" w:rsidRPr="005275C1">
        <w:t xml:space="preserve"> </w:t>
      </w:r>
      <w:r w:rsidR="005275C1">
        <w:fldChar w:fldCharType="begin" w:fldLock="1"/>
      </w:r>
      <w:r w:rsidR="005275C1">
        <w:instrText xml:space="preserve"> REF _Ref151493073 \r \h </w:instrText>
      </w:r>
      <w:r w:rsidR="005275C1">
        <w:fldChar w:fldCharType="separate"/>
      </w:r>
      <w:r w:rsidR="009646BC">
        <w:t>6.2</w:t>
      </w:r>
      <w:r w:rsidR="005275C1">
        <w:fldChar w:fldCharType="end"/>
      </w:r>
      <w:r w:rsidR="00E72F39">
        <w:t xml:space="preserve"> (</w:t>
      </w:r>
      <w:r w:rsidRPr="00BE157C">
        <w:rPr>
          <w:i/>
          <w:iCs/>
        </w:rPr>
        <w:t>Amendments with agreement</w:t>
      </w:r>
      <w:r w:rsidR="00E72F39">
        <w:t>)</w:t>
      </w:r>
      <w:r w:rsidR="005275C1" w:rsidRPr="005275C1">
        <w:t xml:space="preserve"> of </w:t>
      </w:r>
      <w:r w:rsidR="00BF2371">
        <w:t>these Terms</w:t>
      </w:r>
      <w:r w:rsidR="005275C1" w:rsidRPr="005275C1">
        <w:t xml:space="preserve">, the Firm may amend or supplement any provision of </w:t>
      </w:r>
      <w:r w:rsidR="00BF2371">
        <w:t xml:space="preserve">these Terms </w:t>
      </w:r>
      <w:r w:rsidR="005275C1" w:rsidRPr="005275C1">
        <w:t xml:space="preserve">at any time without the agreement of any </w:t>
      </w:r>
      <w:r w:rsidR="00272180">
        <w:t>EATM</w:t>
      </w:r>
      <w:r w:rsidR="005275C1" w:rsidRPr="005275C1">
        <w:t xml:space="preserve"> Client provided that</w:t>
      </w:r>
      <w:r w:rsidR="00045EBC">
        <w:t xml:space="preserve">: (i) </w:t>
      </w:r>
      <w:r w:rsidR="00D31A03">
        <w:t xml:space="preserve">such amendment or supplement must also be made to any other </w:t>
      </w:r>
      <w:r w:rsidR="00272180">
        <w:t>EATM</w:t>
      </w:r>
      <w:r w:rsidR="00D31A03">
        <w:t xml:space="preserve"> Agreement entered into by the Firm with a</w:t>
      </w:r>
      <w:r w:rsidR="001E7A8B">
        <w:t>n</w:t>
      </w:r>
      <w:r w:rsidR="00D31A03">
        <w:t xml:space="preserve"> </w:t>
      </w:r>
      <w:r w:rsidR="00272180">
        <w:t>EATM</w:t>
      </w:r>
      <w:r w:rsidR="00D31A03">
        <w:t xml:space="preserve"> Client; and </w:t>
      </w:r>
      <w:r w:rsidR="00045EBC">
        <w:t xml:space="preserve">(ii) </w:t>
      </w:r>
      <w:r w:rsidR="00D31A03">
        <w:t xml:space="preserve">the Firm shall give each </w:t>
      </w:r>
      <w:r w:rsidR="00272180">
        <w:t>EATM</w:t>
      </w:r>
      <w:r w:rsidR="00D31A03">
        <w:t xml:space="preserve"> Client [●] days’ written notice of such proposed amendment or supplement.</w:t>
      </w:r>
    </w:p>
    <w:p w14:paraId="0152953B" w14:textId="7BBF2939" w:rsidR="001804BA" w:rsidRDefault="00D46E2F" w:rsidP="001A6624">
      <w:pPr>
        <w:pStyle w:val="Schedule2"/>
      </w:pPr>
      <w:bookmarkStart w:id="187" w:name="_Ref151493073"/>
      <w:r>
        <w:rPr>
          <w:b/>
          <w:bCs/>
          <w:i/>
          <w:iCs/>
        </w:rPr>
        <w:t>Ame</w:t>
      </w:r>
      <w:r w:rsidR="007410E6">
        <w:rPr>
          <w:b/>
          <w:bCs/>
          <w:i/>
          <w:iCs/>
        </w:rPr>
        <w:t>ndments with agreement</w:t>
      </w:r>
      <w:r w:rsidR="00E72F39" w:rsidRPr="002E6D22">
        <w:rPr>
          <w:b/>
          <w:bCs/>
          <w:i/>
          <w:iCs/>
        </w:rPr>
        <w:t>:</w:t>
      </w:r>
      <w:r w:rsidR="00E72F39">
        <w:t xml:space="preserve"> </w:t>
      </w:r>
      <w:r w:rsidR="001804BA">
        <w:t xml:space="preserve">Notwithstanding any contrary provision of </w:t>
      </w:r>
      <w:r w:rsidR="00F40C56">
        <w:t>a</w:t>
      </w:r>
      <w:r w:rsidR="001E7A8B">
        <w:t>n</w:t>
      </w:r>
      <w:r w:rsidR="00F40C56" w:rsidRPr="00F40C56">
        <w:t xml:space="preserve"> </w:t>
      </w:r>
      <w:r w:rsidR="00272180">
        <w:t>EATM</w:t>
      </w:r>
      <w:r w:rsidR="00F40C56">
        <w:t xml:space="preserve"> </w:t>
      </w:r>
      <w:r w:rsidR="001804BA">
        <w:t>Agreement, n</w:t>
      </w:r>
      <w:r w:rsidR="001804BA" w:rsidRPr="00B35ADD">
        <w:t xml:space="preserve">o amendment or supplement may be made by </w:t>
      </w:r>
      <w:r w:rsidR="001804BA">
        <w:t>the Firm</w:t>
      </w:r>
      <w:r w:rsidR="001804BA" w:rsidRPr="00B35ADD">
        <w:t xml:space="preserve"> to </w:t>
      </w:r>
      <w:r w:rsidR="00BF2371">
        <w:t>these Terms</w:t>
      </w:r>
      <w:r w:rsidR="001804BA" w:rsidRPr="00B35ADD">
        <w:t xml:space="preserve">, the effect of which would be to alter the nature or extent of the beneficial interest of </w:t>
      </w:r>
      <w:r w:rsidR="00515E79">
        <w:t>the</w:t>
      </w:r>
      <w:r w:rsidR="00C37813" w:rsidRPr="00C37813">
        <w:t xml:space="preserve"> </w:t>
      </w:r>
      <w:r w:rsidR="00272180">
        <w:t>EATM</w:t>
      </w:r>
      <w:r w:rsidR="00C37813">
        <w:t xml:space="preserve"> </w:t>
      </w:r>
      <w:r w:rsidR="001804BA">
        <w:t>Client</w:t>
      </w:r>
      <w:r w:rsidR="00515E79">
        <w:t>s</w:t>
      </w:r>
      <w:r w:rsidR="001804BA" w:rsidRPr="00B35ADD">
        <w:t xml:space="preserve"> pursuant to the</w:t>
      </w:r>
      <w:r w:rsidR="001804BA">
        <w:t xml:space="preserve"> </w:t>
      </w:r>
      <w:r w:rsidR="00A80DBC">
        <w:t>Segregated Assets</w:t>
      </w:r>
      <w:r w:rsidR="001804BA">
        <w:t xml:space="preserve"> </w:t>
      </w:r>
      <w:r w:rsidR="00802900">
        <w:t>Arrangement</w:t>
      </w:r>
      <w:r w:rsidR="00802900" w:rsidRPr="00B35ADD">
        <w:t xml:space="preserve"> </w:t>
      </w:r>
      <w:r w:rsidR="001804BA" w:rsidRPr="00B35ADD">
        <w:t>without the prior written agreement o</w:t>
      </w:r>
      <w:r w:rsidR="00515E79">
        <w:t>f the</w:t>
      </w:r>
      <w:r w:rsidR="00C37813" w:rsidRPr="00C37813">
        <w:t xml:space="preserve"> </w:t>
      </w:r>
      <w:r w:rsidR="00272180">
        <w:t>EATM</w:t>
      </w:r>
      <w:r w:rsidR="00C37813">
        <w:t xml:space="preserve"> </w:t>
      </w:r>
      <w:r w:rsidR="001804BA">
        <w:t>Client</w:t>
      </w:r>
      <w:r w:rsidR="00515E79">
        <w:t>s</w:t>
      </w:r>
      <w:r w:rsidR="001804BA">
        <w:t>.</w:t>
      </w:r>
      <w:bookmarkEnd w:id="187"/>
      <w:r w:rsidR="001804BA" w:rsidRPr="00B35ADD">
        <w:t xml:space="preserve"> </w:t>
      </w:r>
    </w:p>
    <w:p w14:paraId="48870C61" w14:textId="3E67F6B2" w:rsidR="00A27EF5" w:rsidRPr="00DE6343" w:rsidRDefault="00A27EF5" w:rsidP="00A27EF5">
      <w:pPr>
        <w:pStyle w:val="Schedule1"/>
        <w:keepNext/>
        <w:ind w:left="677" w:hanging="677"/>
        <w:rPr>
          <w:b/>
          <w:bCs/>
        </w:rPr>
      </w:pPr>
      <w:r w:rsidRPr="00DE6343">
        <w:rPr>
          <w:b/>
          <w:bCs/>
        </w:rPr>
        <w:lastRenderedPageBreak/>
        <w:t>Effect of termination</w:t>
      </w:r>
      <w:r>
        <w:rPr>
          <w:b/>
          <w:bCs/>
        </w:rPr>
        <w:t xml:space="preserve"> of </w:t>
      </w:r>
      <w:r w:rsidR="00B60CF3">
        <w:rPr>
          <w:b/>
          <w:bCs/>
        </w:rPr>
        <w:t>a</w:t>
      </w:r>
      <w:r w:rsidR="001E7A8B">
        <w:rPr>
          <w:b/>
          <w:bCs/>
        </w:rPr>
        <w:t>n</w:t>
      </w:r>
      <w:r w:rsidR="00B60CF3">
        <w:rPr>
          <w:b/>
          <w:bCs/>
        </w:rPr>
        <w:t xml:space="preserve"> </w:t>
      </w:r>
      <w:r w:rsidR="00272180">
        <w:rPr>
          <w:b/>
          <w:bCs/>
        </w:rPr>
        <w:t>EATM</w:t>
      </w:r>
      <w:r w:rsidR="00B60CF3" w:rsidRPr="00B60CF3">
        <w:rPr>
          <w:b/>
          <w:bCs/>
        </w:rPr>
        <w:t xml:space="preserve"> Agreement</w:t>
      </w:r>
    </w:p>
    <w:p w14:paraId="1E8790AC" w14:textId="03BAF9FF" w:rsidR="00E939B8" w:rsidRPr="0082690E" w:rsidRDefault="00A27EF5" w:rsidP="0082690E">
      <w:pPr>
        <w:pStyle w:val="Body1"/>
      </w:pPr>
      <w:r w:rsidRPr="00DE6343">
        <w:t>Upon termination of a</w:t>
      </w:r>
      <w:r w:rsidR="001E7A8B">
        <w:t>n</w:t>
      </w:r>
      <w:r>
        <w:rPr>
          <w:b/>
          <w:bCs/>
        </w:rPr>
        <w:t xml:space="preserve"> </w:t>
      </w:r>
      <w:r w:rsidR="00272180">
        <w:t>EATM</w:t>
      </w:r>
      <w:r>
        <w:t xml:space="preserve"> Client’s</w:t>
      </w:r>
      <w:r>
        <w:rPr>
          <w:b/>
          <w:bCs/>
        </w:rPr>
        <w:t xml:space="preserve"> </w:t>
      </w:r>
      <w:r w:rsidR="00272180">
        <w:t>EATM</w:t>
      </w:r>
      <w:r w:rsidR="00B60CF3" w:rsidRPr="00B60CF3">
        <w:t xml:space="preserve"> Agreement</w:t>
      </w:r>
      <w:r>
        <w:t xml:space="preserve">, such </w:t>
      </w:r>
      <w:r w:rsidR="00272180">
        <w:t>EATM</w:t>
      </w:r>
      <w:r>
        <w:t xml:space="preserve"> Client</w:t>
      </w:r>
      <w:r w:rsidRPr="00B35ADD">
        <w:t xml:space="preserve"> </w:t>
      </w:r>
      <w:r>
        <w:t xml:space="preserve">will cease to acquire any further beneficial interest in </w:t>
      </w:r>
      <w:r w:rsidR="0026638C">
        <w:t xml:space="preserve">the </w:t>
      </w:r>
      <w:r>
        <w:t xml:space="preserve">Segregated Assets (but the beneficial interest of the </w:t>
      </w:r>
      <w:r w:rsidR="00272180">
        <w:t>EATM</w:t>
      </w:r>
      <w:r>
        <w:t xml:space="preserve"> Client in Segregated Assets existing at the date of termination shall be unaffected and the Segregated Assets Arrangement will continue for the benefit of any other </w:t>
      </w:r>
      <w:r w:rsidR="00272180">
        <w:t>EATM</w:t>
      </w:r>
      <w:r w:rsidRPr="00061592">
        <w:t xml:space="preserve"> </w:t>
      </w:r>
      <w:r w:rsidR="00476A84">
        <w:t>Beneficiarie</w:t>
      </w:r>
      <w:r>
        <w:t>s).</w:t>
      </w:r>
    </w:p>
    <w:p w14:paraId="298C02D9" w14:textId="188E19FC" w:rsidR="00184485" w:rsidRPr="00BE157C" w:rsidRDefault="00FD1A06" w:rsidP="00FD1A06">
      <w:pPr>
        <w:pStyle w:val="Schedule1"/>
      </w:pPr>
      <w:bookmarkStart w:id="188" w:name="_Ref170912590"/>
      <w:r w:rsidRPr="00BE157C">
        <w:rPr>
          <w:b/>
          <w:bCs/>
        </w:rPr>
        <w:t>Governing law</w:t>
      </w:r>
      <w:bookmarkEnd w:id="188"/>
    </w:p>
    <w:p w14:paraId="6E1F6970" w14:textId="327DA4A4" w:rsidR="001804BA" w:rsidRDefault="00BF2371" w:rsidP="00697D57">
      <w:pPr>
        <w:pStyle w:val="Body1"/>
      </w:pPr>
      <w:r>
        <w:t xml:space="preserve">These Terms </w:t>
      </w:r>
      <w:r w:rsidR="00FD1A06">
        <w:t xml:space="preserve">and </w:t>
      </w:r>
      <w:r w:rsidR="00FD1A06" w:rsidRPr="00057440">
        <w:t xml:space="preserve">all non-contractual obligations and other matters arising from or in connection with </w:t>
      </w:r>
      <w:r>
        <w:t xml:space="preserve">these Terms </w:t>
      </w:r>
      <w:r w:rsidR="00FD1A06" w:rsidRPr="00057440">
        <w:t>will be governed by and construed in accordance with English law.</w:t>
      </w:r>
    </w:p>
    <w:p w14:paraId="1DD73F5B" w14:textId="553180C8" w:rsidR="000C239C" w:rsidRPr="00BE157C" w:rsidRDefault="000C239C" w:rsidP="000C239C">
      <w:pPr>
        <w:pStyle w:val="Schedule1"/>
        <w:rPr>
          <w:b/>
          <w:bCs/>
          <w:i/>
          <w:iCs/>
        </w:rPr>
      </w:pPr>
      <w:bookmarkStart w:id="189" w:name="_Ref161349886"/>
      <w:r>
        <w:rPr>
          <w:b/>
          <w:bCs/>
        </w:rPr>
        <w:t>Definitions</w:t>
      </w:r>
      <w:bookmarkEnd w:id="189"/>
    </w:p>
    <w:p w14:paraId="132E3E5B" w14:textId="37154D81" w:rsidR="000C239C" w:rsidRDefault="000C239C" w:rsidP="000C239C">
      <w:pPr>
        <w:pStyle w:val="Schedule2"/>
      </w:pPr>
      <w:bookmarkStart w:id="190" w:name="_Ref161349917"/>
      <w:r w:rsidRPr="007E0609">
        <w:t xml:space="preserve">For the purposes of </w:t>
      </w:r>
      <w:r>
        <w:t>these Segregated Asset Terms (these “</w:t>
      </w:r>
      <w:r>
        <w:rPr>
          <w:b/>
          <w:bCs/>
        </w:rPr>
        <w:t>Terms</w:t>
      </w:r>
      <w:r>
        <w:t>”)</w:t>
      </w:r>
      <w:r w:rsidRPr="007E0609">
        <w:t xml:space="preserve"> and notwithstanding any contrary definition in </w:t>
      </w:r>
      <w:r>
        <w:t>a</w:t>
      </w:r>
      <w:r w:rsidR="001E7A8B">
        <w:t>n</w:t>
      </w:r>
      <w:r>
        <w:t xml:space="preserve"> </w:t>
      </w:r>
      <w:r w:rsidR="00272180">
        <w:t>EATM</w:t>
      </w:r>
      <w:r>
        <w:t xml:space="preserve"> Agreement</w:t>
      </w:r>
      <w:r w:rsidRPr="007E0609">
        <w:t>, the terms listed below have the following meanings:</w:t>
      </w:r>
      <w:bookmarkEnd w:id="190"/>
    </w:p>
    <w:p w14:paraId="701AD317" w14:textId="5D3F77A6" w:rsidR="000C239C" w:rsidRDefault="000C239C" w:rsidP="000C239C">
      <w:pPr>
        <w:pStyle w:val="Schedule1"/>
        <w:numPr>
          <w:ilvl w:val="0"/>
          <w:numId w:val="0"/>
        </w:numPr>
        <w:ind w:left="680"/>
      </w:pPr>
      <w:r>
        <w:t>“</w:t>
      </w:r>
      <w:r w:rsidRPr="003009C7">
        <w:rPr>
          <w:b/>
          <w:bCs/>
        </w:rPr>
        <w:t>Advice</w:t>
      </w:r>
      <w:r>
        <w:t xml:space="preserve">” has the meaning given to that term in paragraph </w:t>
      </w:r>
      <w:r>
        <w:fldChar w:fldCharType="begin" w:fldLock="1"/>
      </w:r>
      <w:r>
        <w:instrText xml:space="preserve"> REF _Ref133438877 \n \h  \* MERGEFORMAT </w:instrText>
      </w:r>
      <w:r>
        <w:fldChar w:fldCharType="separate"/>
      </w:r>
      <w:r w:rsidR="009646BC">
        <w:t>2.2.1</w:t>
      </w:r>
      <w:r>
        <w:fldChar w:fldCharType="end"/>
      </w:r>
      <w:r>
        <w:t xml:space="preserve"> (</w:t>
      </w:r>
      <w:r w:rsidRPr="003009C7">
        <w:rPr>
          <w:i/>
          <w:iCs/>
        </w:rPr>
        <w:t>Advice</w:t>
      </w:r>
      <w:r>
        <w:t>) of these Terms.</w:t>
      </w:r>
    </w:p>
    <w:p w14:paraId="502115BC" w14:textId="77777777" w:rsidR="000C239C" w:rsidRDefault="000C239C" w:rsidP="000C239C">
      <w:pPr>
        <w:pStyle w:val="roman2"/>
        <w:numPr>
          <w:ilvl w:val="0"/>
          <w:numId w:val="0"/>
        </w:numPr>
        <w:ind w:left="680"/>
      </w:pPr>
      <w:r>
        <w:t>“</w:t>
      </w:r>
      <w:r>
        <w:rPr>
          <w:b/>
          <w:bCs/>
        </w:rPr>
        <w:t>C</w:t>
      </w:r>
      <w:r w:rsidRPr="00D96A4D">
        <w:rPr>
          <w:b/>
          <w:bCs/>
        </w:rPr>
        <w:t>CP</w:t>
      </w:r>
      <w:r>
        <w:t>” means a central counterparty clearing organisation.</w:t>
      </w:r>
    </w:p>
    <w:p w14:paraId="204BBB38" w14:textId="77777777" w:rsidR="000C239C" w:rsidRDefault="000C239C" w:rsidP="000C239C">
      <w:pPr>
        <w:pStyle w:val="roman2"/>
        <w:numPr>
          <w:ilvl w:val="0"/>
          <w:numId w:val="0"/>
        </w:numPr>
        <w:ind w:left="680"/>
      </w:pPr>
      <w:r>
        <w:t>“</w:t>
      </w:r>
      <w:r>
        <w:rPr>
          <w:b/>
          <w:bCs/>
        </w:rPr>
        <w:t>CCP Rules</w:t>
      </w:r>
      <w:r>
        <w:t>” means</w:t>
      </w:r>
      <w:r w:rsidRPr="0081505D">
        <w:t xml:space="preserve">, with respect to </w:t>
      </w:r>
      <w:r>
        <w:t>a CCP</w:t>
      </w:r>
      <w:r w:rsidRPr="0081505D">
        <w:t xml:space="preserve">, the articles, rules, regulations, procedures, standard terms, membership agreements, collateral addenda, notices, guidance, policies or other such documents promulgated by the relevant </w:t>
      </w:r>
      <w:r>
        <w:t>CCP</w:t>
      </w:r>
      <w:r w:rsidRPr="0081505D">
        <w:t xml:space="preserve"> in respect of such </w:t>
      </w:r>
      <w:r>
        <w:t>CCP</w:t>
      </w:r>
      <w:r w:rsidRPr="0081505D">
        <w:t xml:space="preserve"> as amended and supplemented from time to time</w:t>
      </w:r>
      <w:r>
        <w:t>.</w:t>
      </w:r>
    </w:p>
    <w:p w14:paraId="7307ACB5" w14:textId="19CD6F64" w:rsidR="00477107" w:rsidRDefault="005D4CCA" w:rsidP="009D3F7D">
      <w:pPr>
        <w:pStyle w:val="roman2"/>
        <w:numPr>
          <w:ilvl w:val="0"/>
          <w:numId w:val="0"/>
        </w:numPr>
        <w:ind w:left="680"/>
      </w:pPr>
      <w:r>
        <w:t>“</w:t>
      </w:r>
      <w:r>
        <w:rPr>
          <w:b/>
          <w:bCs/>
        </w:rPr>
        <w:t>Deemed Settled Assets</w:t>
      </w:r>
      <w:r>
        <w:t>” means any asset that would have been a Settled Asset but for the fact that the relevant CCP’s obligation to deliver such asset was deemed satisfied in accordance with the applicable CCP Rules through the operation of settlement or close-out netting</w:t>
      </w:r>
      <w:r w:rsidR="002E2264">
        <w:t xml:space="preserve"> whereby the CCP’s obligation to deliver such asset was offset and discharged by an equal and offsetting delivery obligation of the Firm to that CCP. </w:t>
      </w:r>
    </w:p>
    <w:p w14:paraId="145A18BB" w14:textId="4C5B055B" w:rsidR="000C239C" w:rsidRDefault="000C239C" w:rsidP="000C239C">
      <w:pPr>
        <w:pStyle w:val="Level2"/>
        <w:numPr>
          <w:ilvl w:val="0"/>
          <w:numId w:val="0"/>
        </w:numPr>
        <w:ind w:left="680"/>
      </w:pPr>
      <w:r>
        <w:t>“</w:t>
      </w:r>
      <w:r w:rsidR="00272180">
        <w:rPr>
          <w:b/>
          <w:bCs/>
        </w:rPr>
        <w:t>EATM</w:t>
      </w:r>
      <w:r>
        <w:rPr>
          <w:b/>
          <w:bCs/>
        </w:rPr>
        <w:t xml:space="preserve"> Agreement</w:t>
      </w:r>
      <w:r>
        <w:t xml:space="preserve">” means </w:t>
      </w:r>
      <w:r w:rsidRPr="00742772">
        <w:t xml:space="preserve">an agreement entered into by a clearing member and a client </w:t>
      </w:r>
      <w:r>
        <w:t>in the form of the FIA Client Clearing Agreement 202</w:t>
      </w:r>
      <w:r w:rsidR="00603A00">
        <w:t>5</w:t>
      </w:r>
      <w:r>
        <w:t>, European Agent</w:t>
      </w:r>
      <w:r w:rsidR="00AB7698">
        <w:t>-</w:t>
      </w:r>
      <w:r>
        <w:t xml:space="preserve">Trustee Model </w:t>
      </w:r>
      <w:r w:rsidR="00AB7698">
        <w:t xml:space="preserve">(Version 1.0) </w:t>
      </w:r>
      <w:r>
        <w:t>(English Law</w:t>
      </w:r>
      <w:r w:rsidR="00AB7698">
        <w:t xml:space="preserve"> Agreement and</w:t>
      </w:r>
      <w:r>
        <w:t xml:space="preserve"> Terms) or any successors thereto or any agreement having a substantially similar effect.</w:t>
      </w:r>
    </w:p>
    <w:p w14:paraId="34C01DFA" w14:textId="6B65E5DF" w:rsidR="00476A84" w:rsidRPr="00476A84" w:rsidRDefault="00476A84" w:rsidP="000C239C">
      <w:pPr>
        <w:pStyle w:val="Level2"/>
        <w:numPr>
          <w:ilvl w:val="0"/>
          <w:numId w:val="0"/>
        </w:numPr>
        <w:ind w:left="680"/>
      </w:pPr>
      <w:r>
        <w:t>“</w:t>
      </w:r>
      <w:r w:rsidR="00272180">
        <w:rPr>
          <w:b/>
          <w:bCs/>
        </w:rPr>
        <w:t>EATM</w:t>
      </w:r>
      <w:r>
        <w:rPr>
          <w:b/>
          <w:bCs/>
        </w:rPr>
        <w:t xml:space="preserve"> Beneficiary</w:t>
      </w:r>
      <w:r>
        <w:t xml:space="preserve">” has the meaning given to that term in paragraph </w:t>
      </w:r>
      <w:r>
        <w:fldChar w:fldCharType="begin" w:fldLock="1"/>
      </w:r>
      <w:r>
        <w:instrText xml:space="preserve"> REF _Ref177640113 \r \h </w:instrText>
      </w:r>
      <w:r>
        <w:fldChar w:fldCharType="separate"/>
      </w:r>
      <w:r w:rsidR="009646BC">
        <w:t>1.1</w:t>
      </w:r>
      <w:r>
        <w:fldChar w:fldCharType="end"/>
      </w:r>
      <w:r>
        <w:t xml:space="preserve"> (</w:t>
      </w:r>
      <w:r>
        <w:rPr>
          <w:i/>
          <w:iCs/>
        </w:rPr>
        <w:t>Trust relationship</w:t>
      </w:r>
      <w:r>
        <w:t>) of these Terms.</w:t>
      </w:r>
    </w:p>
    <w:p w14:paraId="5F73790D" w14:textId="12DF9648" w:rsidR="000C239C" w:rsidRDefault="000C239C" w:rsidP="000C239C">
      <w:pPr>
        <w:pStyle w:val="Schedule1"/>
        <w:numPr>
          <w:ilvl w:val="0"/>
          <w:numId w:val="0"/>
        </w:numPr>
        <w:ind w:left="680"/>
      </w:pPr>
      <w:r>
        <w:t>“</w:t>
      </w:r>
      <w:r w:rsidR="00272180">
        <w:rPr>
          <w:b/>
          <w:bCs/>
        </w:rPr>
        <w:t>EATM</w:t>
      </w:r>
      <w:r w:rsidRPr="0079125B">
        <w:rPr>
          <w:b/>
          <w:bCs/>
        </w:rPr>
        <w:t xml:space="preserve"> </w:t>
      </w:r>
      <w:r>
        <w:rPr>
          <w:b/>
          <w:bCs/>
        </w:rPr>
        <w:t>CCP</w:t>
      </w:r>
      <w:r>
        <w:t xml:space="preserve">” means any CCP at which the Firm clears </w:t>
      </w:r>
      <w:r w:rsidR="00272180">
        <w:t>EATM</w:t>
      </w:r>
      <w:r>
        <w:t xml:space="preserve"> Transactions on behalf of any </w:t>
      </w:r>
      <w:r w:rsidR="00272180">
        <w:t>EATM</w:t>
      </w:r>
      <w:r w:rsidRPr="00F20503">
        <w:t xml:space="preserve"> Client</w:t>
      </w:r>
      <w:r>
        <w:t>.</w:t>
      </w:r>
    </w:p>
    <w:p w14:paraId="6BF7CD9F" w14:textId="68BE7B84" w:rsidR="000C239C" w:rsidRDefault="000C239C" w:rsidP="000C239C">
      <w:pPr>
        <w:pStyle w:val="Schedule1"/>
        <w:numPr>
          <w:ilvl w:val="0"/>
          <w:numId w:val="0"/>
        </w:numPr>
        <w:ind w:left="680"/>
      </w:pPr>
      <w:r>
        <w:t>“</w:t>
      </w:r>
      <w:r w:rsidR="00272180">
        <w:rPr>
          <w:b/>
          <w:bCs/>
        </w:rPr>
        <w:t>EATM</w:t>
      </w:r>
      <w:r w:rsidRPr="001A6624">
        <w:rPr>
          <w:b/>
          <w:bCs/>
        </w:rPr>
        <w:t xml:space="preserve"> Client</w:t>
      </w:r>
      <w:r>
        <w:t xml:space="preserve">” means any person who, from time to time, is identified in the books and records of the Firm as a person for whose account </w:t>
      </w:r>
      <w:r w:rsidR="00272180">
        <w:t>EATM</w:t>
      </w:r>
      <w:r>
        <w:t xml:space="preserve"> Transactions are held. </w:t>
      </w:r>
    </w:p>
    <w:p w14:paraId="19FB6F69" w14:textId="1DE5ED10" w:rsidR="000C239C" w:rsidRDefault="000C239C" w:rsidP="000C239C">
      <w:pPr>
        <w:pStyle w:val="Schedule1"/>
        <w:numPr>
          <w:ilvl w:val="0"/>
          <w:numId w:val="0"/>
        </w:numPr>
        <w:ind w:left="680"/>
      </w:pPr>
      <w:r>
        <w:t>“</w:t>
      </w:r>
      <w:r w:rsidR="00272180">
        <w:rPr>
          <w:b/>
          <w:bCs/>
        </w:rPr>
        <w:t>EATM</w:t>
      </w:r>
      <w:r w:rsidRPr="001A6624">
        <w:rPr>
          <w:b/>
          <w:bCs/>
        </w:rPr>
        <w:t xml:space="preserve"> Transaction</w:t>
      </w:r>
      <w:r>
        <w:t>” means any transaction between the Firm and a CCP in respect of which the Firm</w:t>
      </w:r>
      <w:r w:rsidR="007D0A54">
        <w:t xml:space="preserve">, from time to time, </w:t>
      </w:r>
      <w:r>
        <w:t>provid</w:t>
      </w:r>
      <w:r w:rsidR="007D0A54">
        <w:t>es</w:t>
      </w:r>
      <w:r>
        <w:t xml:space="preserve"> clearing services under a</w:t>
      </w:r>
      <w:r w:rsidR="001E7A8B">
        <w:t>n</w:t>
      </w:r>
      <w:r>
        <w:t xml:space="preserve"> </w:t>
      </w:r>
      <w:r w:rsidR="00272180">
        <w:t>EATM</w:t>
      </w:r>
      <w:r>
        <w:t xml:space="preserve"> Agreement. </w:t>
      </w:r>
    </w:p>
    <w:p w14:paraId="77EB6C63" w14:textId="18C4336A" w:rsidR="001E7A8B" w:rsidRDefault="001E7A8B" w:rsidP="004D04D7">
      <w:pPr>
        <w:pStyle w:val="roman2"/>
        <w:numPr>
          <w:ilvl w:val="0"/>
          <w:numId w:val="0"/>
        </w:numPr>
        <w:ind w:left="680"/>
      </w:pPr>
      <w:r>
        <w:t>“</w:t>
      </w:r>
      <w:r>
        <w:rPr>
          <w:b/>
          <w:bCs/>
        </w:rPr>
        <w:t>Equivalent Settled Assets</w:t>
      </w:r>
      <w:r>
        <w:t xml:space="preserve">” means, in relation to any Settled Assets or deemed receipt of Deemed Settled Assets, cash, securities and/or other assets of the same type, nominal value, description and amount as such Deemed Settled Assets or Settled Assets. </w:t>
      </w:r>
    </w:p>
    <w:p w14:paraId="2C2D6432" w14:textId="77777777" w:rsidR="00DF5902" w:rsidRDefault="00476A84" w:rsidP="000C239C">
      <w:pPr>
        <w:pStyle w:val="schedule20"/>
        <w:ind w:firstLine="0"/>
      </w:pPr>
      <w:r w:rsidRPr="00E17903">
        <w:lastRenderedPageBreak/>
        <w:t>“</w:t>
      </w:r>
      <w:r w:rsidRPr="00E17903">
        <w:rPr>
          <w:b/>
          <w:bCs/>
        </w:rPr>
        <w:t>Excess Collateral</w:t>
      </w:r>
      <w:r w:rsidRPr="00E17903">
        <w:t xml:space="preserve">” means </w:t>
      </w:r>
      <w:r w:rsidR="00C70D9F" w:rsidRPr="004D04D7">
        <w:rPr>
          <w:rFonts w:cs="Times New Roman"/>
          <w:kern w:val="20"/>
        </w:rPr>
        <w:t xml:space="preserve">any cash, securities </w:t>
      </w:r>
      <w:r w:rsidR="00E17903">
        <w:t>or</w:t>
      </w:r>
      <w:r w:rsidR="00C70D9F" w:rsidRPr="004D04D7">
        <w:rPr>
          <w:rFonts w:cs="Times New Roman"/>
          <w:kern w:val="20"/>
        </w:rPr>
        <w:t xml:space="preserve"> other assets </w:t>
      </w:r>
      <w:r w:rsidR="00954642">
        <w:t xml:space="preserve">that are </w:t>
      </w:r>
      <w:r w:rsidR="00E17903">
        <w:t>transferred as margin or collateral by the Firm to a</w:t>
      </w:r>
      <w:r w:rsidR="001E7A8B">
        <w:t>n</w:t>
      </w:r>
      <w:r w:rsidR="00954642">
        <w:t xml:space="preserve"> </w:t>
      </w:r>
      <w:r w:rsidR="00272180">
        <w:t>EATM</w:t>
      </w:r>
      <w:r w:rsidR="00E17903">
        <w:t xml:space="preserve"> CCP in respect of a Segregated Account in excess of the margining or collateral requirements of that</w:t>
      </w:r>
      <w:r w:rsidR="00954642">
        <w:t xml:space="preserve"> </w:t>
      </w:r>
      <w:r w:rsidR="00272180">
        <w:t>EATM</w:t>
      </w:r>
      <w:r w:rsidR="00954642">
        <w:t xml:space="preserve"> </w:t>
      </w:r>
      <w:r w:rsidR="00E17903">
        <w:t xml:space="preserve">CCP in respect of that Segregated Account. </w:t>
      </w:r>
    </w:p>
    <w:p w14:paraId="5DEDD3ED" w14:textId="2337BBD3" w:rsidR="000C239C" w:rsidRDefault="000C239C" w:rsidP="000C239C">
      <w:pPr>
        <w:pStyle w:val="schedule20"/>
        <w:ind w:firstLine="0"/>
      </w:pPr>
      <w:r>
        <w:t>“</w:t>
      </w:r>
      <w:r>
        <w:rPr>
          <w:b/>
          <w:bCs/>
        </w:rPr>
        <w:t>Excluded Rights</w:t>
      </w:r>
      <w:r>
        <w:t xml:space="preserve">” means the rights of the Firm against a CCP for the return of any default fund contributions or other amounts transferred, or assets delivered, by the Firm to that CCP that are not specifically and solely attributable to one or more </w:t>
      </w:r>
      <w:r w:rsidR="00272180">
        <w:t>EATM</w:t>
      </w:r>
      <w:r>
        <w:t xml:space="preserve"> Transactions</w:t>
      </w:r>
      <w:r w:rsidR="004C32C0">
        <w:t xml:space="preserve"> other than the rights of the Firm against a CCP in respect of Excess Collateral</w:t>
      </w:r>
      <w:r>
        <w:t>.</w:t>
      </w:r>
    </w:p>
    <w:p w14:paraId="6F5C4B74" w14:textId="77777777" w:rsidR="000C239C" w:rsidRDefault="000C239C" w:rsidP="000C239C">
      <w:pPr>
        <w:pStyle w:val="Schedule1"/>
        <w:numPr>
          <w:ilvl w:val="0"/>
          <w:numId w:val="0"/>
        </w:numPr>
        <w:ind w:left="680"/>
      </w:pPr>
      <w:r>
        <w:t>“</w:t>
      </w:r>
      <w:r>
        <w:rPr>
          <w:b/>
          <w:bCs/>
        </w:rPr>
        <w:t>Firm</w:t>
      </w:r>
      <w:r>
        <w:t>” means [</w:t>
      </w:r>
      <w:r>
        <w:rPr>
          <w:rFonts w:cs="Arial"/>
        </w:rPr>
        <w:t>●</w:t>
      </w:r>
      <w:r>
        <w:t>].</w:t>
      </w:r>
    </w:p>
    <w:p w14:paraId="42C79F8B" w14:textId="294A2293" w:rsidR="000C239C" w:rsidRDefault="000C239C" w:rsidP="000C239C">
      <w:pPr>
        <w:pStyle w:val="Level2"/>
        <w:numPr>
          <w:ilvl w:val="0"/>
          <w:numId w:val="0"/>
        </w:numPr>
        <w:ind w:left="680"/>
      </w:pPr>
      <w:r w:rsidRPr="001A6624">
        <w:t>“</w:t>
      </w:r>
      <w:r w:rsidRPr="00B73643">
        <w:rPr>
          <w:b/>
          <w:bCs/>
        </w:rPr>
        <w:t xml:space="preserve">Individual </w:t>
      </w:r>
      <w:r>
        <w:rPr>
          <w:b/>
          <w:bCs/>
        </w:rPr>
        <w:t>Segregation</w:t>
      </w:r>
      <w:r w:rsidRPr="00B73643">
        <w:rPr>
          <w:b/>
          <w:bCs/>
        </w:rPr>
        <w:t xml:space="preserve"> Account</w:t>
      </w:r>
      <w:r>
        <w:t xml:space="preserve">” means each account of the Firm at a CCP to which </w:t>
      </w:r>
      <w:r w:rsidR="00272180">
        <w:t>EATM</w:t>
      </w:r>
      <w:r>
        <w:t xml:space="preserve"> Transactions relating to a single </w:t>
      </w:r>
      <w:r w:rsidR="00272180">
        <w:t>EATM</w:t>
      </w:r>
      <w:r w:rsidRPr="000C239C">
        <w:t xml:space="preserve"> Client</w:t>
      </w:r>
      <w:r w:rsidRPr="000C239C" w:rsidDel="000C239C">
        <w:t xml:space="preserve"> </w:t>
      </w:r>
      <w:r>
        <w:t>are recorded.</w:t>
      </w:r>
    </w:p>
    <w:p w14:paraId="7F4081D1" w14:textId="77777777" w:rsidR="000C239C" w:rsidRPr="00812256" w:rsidRDefault="000C239C" w:rsidP="000C239C">
      <w:pPr>
        <w:pStyle w:val="roman2"/>
        <w:numPr>
          <w:ilvl w:val="0"/>
          <w:numId w:val="0"/>
        </w:numPr>
        <w:ind w:left="680"/>
      </w:pPr>
      <w:r>
        <w:t>“</w:t>
      </w:r>
      <w:r w:rsidRPr="00276E6D">
        <w:rPr>
          <w:b/>
          <w:bCs/>
        </w:rPr>
        <w:t>Loss</w:t>
      </w:r>
      <w:r>
        <w:t>”</w:t>
      </w:r>
      <w:r w:rsidRPr="00276E6D">
        <w:t xml:space="preserve"> or </w:t>
      </w:r>
      <w:r>
        <w:t>“</w:t>
      </w:r>
      <w:r w:rsidRPr="00276E6D">
        <w:rPr>
          <w:b/>
          <w:bCs/>
        </w:rPr>
        <w:t>Losses</w:t>
      </w:r>
      <w:r>
        <w:t>”</w:t>
      </w:r>
      <w:r w:rsidRPr="00276E6D">
        <w:t xml:space="preserve"> means any losses, claims, injuries, damages, judgments, interest on judgments, assessments, taxes, imposts, levies, costs, fees, charges, expenses, amounts paid in settlement or other liabilities (including, without limitation, legal costs, costs of collection and any cost incurred in successfully defending against any claim), howsoever arising</w:t>
      </w:r>
      <w:r>
        <w:t>.</w:t>
      </w:r>
    </w:p>
    <w:p w14:paraId="7EDCFF20" w14:textId="27547AA0" w:rsidR="005D4CCA" w:rsidRPr="002E4386" w:rsidRDefault="000C239C" w:rsidP="000C239C">
      <w:pPr>
        <w:pStyle w:val="Level2"/>
        <w:numPr>
          <w:ilvl w:val="0"/>
          <w:numId w:val="0"/>
        </w:numPr>
        <w:ind w:left="680"/>
        <w:rPr>
          <w:b/>
          <w:bCs/>
          <w:i/>
          <w:iCs/>
        </w:rPr>
      </w:pPr>
      <w:r>
        <w:t>“</w:t>
      </w:r>
      <w:r>
        <w:rPr>
          <w:b/>
          <w:bCs/>
        </w:rPr>
        <w:t>Omnibus Segregation Account</w:t>
      </w:r>
      <w:r>
        <w:t xml:space="preserve">” means each </w:t>
      </w:r>
      <w:r w:rsidRPr="008576EA">
        <w:t xml:space="preserve">account </w:t>
      </w:r>
      <w:r>
        <w:t xml:space="preserve">of the Firm at a CCP to which </w:t>
      </w:r>
      <w:r w:rsidR="00272180">
        <w:t>EATM</w:t>
      </w:r>
      <w:r>
        <w:t xml:space="preserve"> Transactions relating to more</w:t>
      </w:r>
      <w:r w:rsidR="008B022D">
        <w:t xml:space="preserve"> than one</w:t>
      </w:r>
      <w:r>
        <w:t xml:space="preserve"> </w:t>
      </w:r>
      <w:r w:rsidR="00272180">
        <w:t>EATM</w:t>
      </w:r>
      <w:r w:rsidRPr="000C239C">
        <w:t xml:space="preserve"> Client</w:t>
      </w:r>
      <w:r w:rsidRPr="000C239C" w:rsidDel="000C239C">
        <w:t xml:space="preserve"> </w:t>
      </w:r>
      <w:r w:rsidR="008B022D">
        <w:t>may be</w:t>
      </w:r>
      <w:r>
        <w:t xml:space="preserve"> recorded.</w:t>
      </w:r>
    </w:p>
    <w:p w14:paraId="54C7077E" w14:textId="77777777" w:rsidR="000C239C" w:rsidRDefault="000C239C" w:rsidP="000C239C">
      <w:pPr>
        <w:pStyle w:val="Schedule1"/>
        <w:numPr>
          <w:ilvl w:val="0"/>
          <w:numId w:val="0"/>
        </w:numPr>
        <w:ind w:left="680"/>
      </w:pPr>
      <w:r>
        <w:t>“</w:t>
      </w:r>
      <w:r>
        <w:rPr>
          <w:b/>
          <w:bCs/>
        </w:rPr>
        <w:t>Segregated Account</w:t>
      </w:r>
      <w:r>
        <w:t>” means an Individual Segregation Account and/or an Omnibus Segregation Account, as applicable.</w:t>
      </w:r>
    </w:p>
    <w:p w14:paraId="72774EA1" w14:textId="308191FD" w:rsidR="000C239C" w:rsidRDefault="000C239C" w:rsidP="000C239C">
      <w:pPr>
        <w:pStyle w:val="schedule20"/>
        <w:ind w:firstLine="0"/>
      </w:pPr>
      <w:r>
        <w:t>“</w:t>
      </w:r>
      <w:r>
        <w:rPr>
          <w:b/>
          <w:bCs/>
        </w:rPr>
        <w:t>Segregated Assets</w:t>
      </w:r>
      <w:r>
        <w:t>” means</w:t>
      </w:r>
      <w:r w:rsidR="00477107">
        <w:t>: (i)</w:t>
      </w:r>
      <w:r w:rsidR="00357546">
        <w:t xml:space="preserve"> </w:t>
      </w:r>
      <w:r w:rsidRPr="007B6C2A">
        <w:t xml:space="preserve">all rights of the Firm against each CCP arising under the relevant CCP Rules and in connection with each </w:t>
      </w:r>
      <w:r w:rsidR="00272180">
        <w:t>EATM</w:t>
      </w:r>
      <w:r w:rsidRPr="007B6C2A">
        <w:t xml:space="preserve"> Transaction</w:t>
      </w:r>
      <w:r w:rsidR="004C32C0">
        <w:t xml:space="preserve"> and/or Segregated Account</w:t>
      </w:r>
      <w:r w:rsidRPr="007B6C2A">
        <w:t>, including all of the Firm’s rights, title, interest and benefit, present and future, in and to any payments</w:t>
      </w:r>
      <w:r w:rsidR="002E2264">
        <w:t>, deliveries or other settlements</w:t>
      </w:r>
      <w:r w:rsidRPr="007B6C2A">
        <w:t xml:space="preserve"> or Transferred Collateral Rights in respect of each such </w:t>
      </w:r>
      <w:r w:rsidR="00272180">
        <w:t>EATM</w:t>
      </w:r>
      <w:r w:rsidRPr="007B6C2A">
        <w:t xml:space="preserve"> Transaction</w:t>
      </w:r>
      <w:r w:rsidR="004C32C0">
        <w:t xml:space="preserve"> and/or Segregated Account</w:t>
      </w:r>
      <w:r w:rsidRPr="007B6C2A">
        <w:t>, but excluding any Excluded Rights</w:t>
      </w:r>
      <w:r w:rsidR="00477107">
        <w:t>; and (ii) any Settled Assets</w:t>
      </w:r>
      <w:r w:rsidRPr="007B6C2A">
        <w:t>.</w:t>
      </w:r>
    </w:p>
    <w:p w14:paraId="661058DE" w14:textId="640DBB7A" w:rsidR="000C239C" w:rsidRDefault="000C239C" w:rsidP="000C239C">
      <w:pPr>
        <w:pStyle w:val="Schedule1"/>
        <w:numPr>
          <w:ilvl w:val="0"/>
          <w:numId w:val="0"/>
        </w:numPr>
        <w:ind w:left="680"/>
      </w:pPr>
      <w:r>
        <w:t>“</w:t>
      </w:r>
      <w:r>
        <w:rPr>
          <w:b/>
          <w:bCs/>
        </w:rPr>
        <w:t>Segregated Assets Arrangement</w:t>
      </w:r>
      <w:r>
        <w:t xml:space="preserve">” means </w:t>
      </w:r>
      <w:r w:rsidRPr="00490886">
        <w:t xml:space="preserve">the arrangements governed by </w:t>
      </w:r>
      <w:r>
        <w:t xml:space="preserve">these Terms </w:t>
      </w:r>
      <w:r w:rsidRPr="00490886">
        <w:t xml:space="preserve">pursuant to which the </w:t>
      </w:r>
      <w:r>
        <w:t>Segregated</w:t>
      </w:r>
      <w:r w:rsidRPr="00490886">
        <w:t xml:space="preserve"> Assets are held on trust by the Firm for the </w:t>
      </w:r>
      <w:r w:rsidR="00272180">
        <w:t>EATM</w:t>
      </w:r>
      <w:r w:rsidRPr="00490886">
        <w:t xml:space="preserve"> </w:t>
      </w:r>
      <w:r w:rsidR="00476A84">
        <w:t>Beneficiarie</w:t>
      </w:r>
      <w:r w:rsidRPr="00490886">
        <w:t>s</w:t>
      </w:r>
      <w:r>
        <w:t xml:space="preserve">. </w:t>
      </w:r>
    </w:p>
    <w:p w14:paraId="1C2E2986" w14:textId="43A4213B" w:rsidR="000C239C" w:rsidRDefault="000C239C" w:rsidP="000C239C">
      <w:pPr>
        <w:pStyle w:val="Schedule1"/>
        <w:numPr>
          <w:ilvl w:val="0"/>
          <w:numId w:val="0"/>
        </w:numPr>
        <w:ind w:left="680"/>
      </w:pPr>
      <w:r>
        <w:t>“</w:t>
      </w:r>
      <w:r>
        <w:rPr>
          <w:b/>
          <w:bCs/>
        </w:rPr>
        <w:t>Segregated Assets</w:t>
      </w:r>
      <w:r w:rsidRPr="001A6624">
        <w:rPr>
          <w:b/>
          <w:bCs/>
        </w:rPr>
        <w:t xml:space="preserve"> Arrangement Liability</w:t>
      </w:r>
      <w:r>
        <w:t>” has the meaning given to that term in paragraph</w:t>
      </w:r>
      <w:r w:rsidR="001F1056">
        <w:t xml:space="preserve"> </w:t>
      </w:r>
      <w:r w:rsidR="001F1056">
        <w:fldChar w:fldCharType="begin" w:fldLock="1"/>
      </w:r>
      <w:r w:rsidR="001F1056">
        <w:instrText xml:space="preserve"> REF _Ref161350975 \r \h </w:instrText>
      </w:r>
      <w:r w:rsidR="001F1056">
        <w:fldChar w:fldCharType="separate"/>
      </w:r>
      <w:r w:rsidR="009646BC">
        <w:t>5.1</w:t>
      </w:r>
      <w:r w:rsidR="001F1056">
        <w:fldChar w:fldCharType="end"/>
      </w:r>
      <w:r>
        <w:t xml:space="preserve"> (</w:t>
      </w:r>
      <w:r w:rsidRPr="001A6624">
        <w:rPr>
          <w:i/>
          <w:iCs/>
        </w:rPr>
        <w:t>Indemnity</w:t>
      </w:r>
      <w:r>
        <w:t xml:space="preserve">) of these Terms. </w:t>
      </w:r>
    </w:p>
    <w:p w14:paraId="42B89934" w14:textId="3FA0BE3B" w:rsidR="00E46D8F" w:rsidRDefault="000B5314" w:rsidP="002972C2">
      <w:pPr>
        <w:pStyle w:val="Schedule1"/>
        <w:numPr>
          <w:ilvl w:val="0"/>
          <w:numId w:val="0"/>
        </w:numPr>
        <w:ind w:left="680"/>
      </w:pPr>
      <w:r w:rsidRPr="00954642">
        <w:t>“</w:t>
      </w:r>
      <w:r w:rsidRPr="00954642">
        <w:rPr>
          <w:b/>
          <w:bCs/>
        </w:rPr>
        <w:t>Settled Asset</w:t>
      </w:r>
      <w:r w:rsidR="00E02002" w:rsidRPr="00954642">
        <w:rPr>
          <w:b/>
          <w:bCs/>
        </w:rPr>
        <w:t>s</w:t>
      </w:r>
      <w:r w:rsidRPr="00954642">
        <w:t xml:space="preserve">” means any cash, securities and other assets (including any principal payments, coupon payments, termination amounts, settlement amounts, initial margin, variation margin, collateral and </w:t>
      </w:r>
      <w:r w:rsidR="002972C2" w:rsidRPr="00954642">
        <w:t>d</w:t>
      </w:r>
      <w:r w:rsidRPr="00954642">
        <w:t>istribution</w:t>
      </w:r>
      <w:r w:rsidR="00621814" w:rsidRPr="00954642">
        <w:t>s</w:t>
      </w:r>
      <w:r w:rsidRPr="00954642">
        <w:t xml:space="preserve">) received </w:t>
      </w:r>
      <w:r w:rsidR="002E2264" w:rsidRPr="00954642">
        <w:t xml:space="preserve">from </w:t>
      </w:r>
      <w:r w:rsidR="00954642">
        <w:t>a</w:t>
      </w:r>
      <w:r w:rsidR="001E7A8B">
        <w:t>n</w:t>
      </w:r>
      <w:r w:rsidR="00954642">
        <w:t xml:space="preserve"> </w:t>
      </w:r>
      <w:r w:rsidR="00272180">
        <w:t>EATM</w:t>
      </w:r>
      <w:r w:rsidR="00954642">
        <w:t xml:space="preserve"> </w:t>
      </w:r>
      <w:r w:rsidR="002E2264" w:rsidRPr="00954642">
        <w:t xml:space="preserve">CCP </w:t>
      </w:r>
      <w:r w:rsidRPr="00954642">
        <w:t xml:space="preserve">by the Firm </w:t>
      </w:r>
      <w:r w:rsidR="002E2264" w:rsidRPr="00954642">
        <w:t xml:space="preserve">or otherwise by or on behalf of one or more </w:t>
      </w:r>
      <w:r w:rsidR="00272180">
        <w:t>EATM</w:t>
      </w:r>
      <w:r w:rsidR="002E2264" w:rsidRPr="00954642">
        <w:t xml:space="preserve"> </w:t>
      </w:r>
      <w:r w:rsidR="00476A84" w:rsidRPr="00954642">
        <w:t>Beneficiarie</w:t>
      </w:r>
      <w:r w:rsidR="002E2264" w:rsidRPr="00954642">
        <w:t>s</w:t>
      </w:r>
      <w:r w:rsidRPr="00954642">
        <w:t xml:space="preserve"> in relation to </w:t>
      </w:r>
      <w:r w:rsidR="002E2264" w:rsidRPr="00954642">
        <w:t>one or more</w:t>
      </w:r>
      <w:r w:rsidR="0095701B" w:rsidRPr="00954642">
        <w:t xml:space="preserve"> </w:t>
      </w:r>
      <w:r w:rsidR="00272180">
        <w:t>EATM</w:t>
      </w:r>
      <w:r w:rsidR="0095701B" w:rsidRPr="00954642">
        <w:t xml:space="preserve"> Transaction</w:t>
      </w:r>
      <w:r w:rsidR="002E2264" w:rsidRPr="00954642">
        <w:t>s</w:t>
      </w:r>
      <w:r w:rsidR="00954642" w:rsidRPr="004D04D7">
        <w:t xml:space="preserve"> or Segregated Accounts</w:t>
      </w:r>
      <w:r w:rsidRPr="00954642">
        <w:t>.</w:t>
      </w:r>
    </w:p>
    <w:p w14:paraId="31FBAA3C" w14:textId="5AE95DB5" w:rsidR="000C239C" w:rsidRDefault="000C239C" w:rsidP="00BE157C">
      <w:pPr>
        <w:pStyle w:val="Schedule1"/>
        <w:numPr>
          <w:ilvl w:val="0"/>
          <w:numId w:val="0"/>
        </w:numPr>
        <w:ind w:left="680"/>
      </w:pPr>
      <w:r w:rsidRPr="00954642">
        <w:t>“</w:t>
      </w:r>
      <w:r w:rsidRPr="00954642">
        <w:rPr>
          <w:b/>
          <w:bCs/>
        </w:rPr>
        <w:t>Transferred Collateral Rights</w:t>
      </w:r>
      <w:r w:rsidRPr="00954642">
        <w:t>” means the rights of the Firm to the delivery of assets equivalent to or the same as those assets delivered by the Firm to a</w:t>
      </w:r>
      <w:r w:rsidR="001E7A8B">
        <w:t>n</w:t>
      </w:r>
      <w:r w:rsidRPr="00954642">
        <w:t xml:space="preserve"> </w:t>
      </w:r>
      <w:r w:rsidR="00272180">
        <w:t>EATM</w:t>
      </w:r>
      <w:r w:rsidRPr="00954642">
        <w:t xml:space="preserve"> CCP</w:t>
      </w:r>
      <w:r w:rsidR="00954642" w:rsidRPr="004D04D7">
        <w:t>:</w:t>
      </w:r>
      <w:r w:rsidRPr="00954642">
        <w:t xml:space="preserve"> (i) in respect of any </w:t>
      </w:r>
      <w:r w:rsidR="00272180">
        <w:t>EATM</w:t>
      </w:r>
      <w:r w:rsidRPr="00954642">
        <w:t xml:space="preserve"> Transactions </w:t>
      </w:r>
      <w:r w:rsidR="002E3CE4" w:rsidRPr="00954642">
        <w:t xml:space="preserve">recorded </w:t>
      </w:r>
      <w:r w:rsidRPr="00954642">
        <w:t>to the Segregated Account</w:t>
      </w:r>
      <w:r w:rsidR="00954642" w:rsidRPr="004D04D7">
        <w:t>; (ii) in respect of any Excess Collateral;</w:t>
      </w:r>
      <w:r w:rsidRPr="00954642">
        <w:t xml:space="preserve"> or (</w:t>
      </w:r>
      <w:r w:rsidR="008B022D">
        <w:t>i</w:t>
      </w:r>
      <w:r w:rsidRPr="00954642">
        <w:t xml:space="preserve">ii) arising as a result of any </w:t>
      </w:r>
      <w:r w:rsidR="00272180">
        <w:t>EATM</w:t>
      </w:r>
      <w:r w:rsidRPr="00954642">
        <w:t xml:space="preserve"> Transaction ceasing to be </w:t>
      </w:r>
      <w:r w:rsidR="002E3CE4" w:rsidRPr="00954642">
        <w:t xml:space="preserve">recorded </w:t>
      </w:r>
      <w:r w:rsidRPr="00954642">
        <w:t xml:space="preserve">to the Segregated Account, in each case in accordance with the CCP Rules of the relevant </w:t>
      </w:r>
      <w:r w:rsidR="00272180">
        <w:t>EATM</w:t>
      </w:r>
      <w:r w:rsidRPr="00954642">
        <w:t xml:space="preserve"> CCP.</w:t>
      </w:r>
    </w:p>
    <w:p w14:paraId="153D172A" w14:textId="5A6AC963" w:rsidR="000C239C" w:rsidRPr="000C239C" w:rsidRDefault="000C239C" w:rsidP="00BE157C">
      <w:pPr>
        <w:pStyle w:val="Schedule2"/>
      </w:pPr>
      <w:r>
        <w:lastRenderedPageBreak/>
        <w:t xml:space="preserve">Any references in these Terms to the Firm shall refer to the Firm acting solely in its capacity as trustee of the Segregated Assets Arrangement. </w:t>
      </w:r>
    </w:p>
    <w:sectPr w:rsidR="000C239C" w:rsidRPr="000C239C" w:rsidSect="004A05CC">
      <w:headerReference w:type="even" r:id="rId10"/>
      <w:headerReference w:type="default" r:id="rId11"/>
      <w:footerReference w:type="even" r:id="rId12"/>
      <w:footerReference w:type="default" r:id="rId13"/>
      <w:headerReference w:type="first" r:id="rId14"/>
      <w:footerReference w:type="first" r:id="rId15"/>
      <w:pgSz w:w="11907" w:h="16839" w:code="9"/>
      <w:pgMar w:top="1701" w:right="1588" w:bottom="1304" w:left="1588" w:header="765" w:footer="482"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C2BEF00" w14:textId="77777777" w:rsidR="00D151F9" w:rsidRDefault="00D151F9" w:rsidP="00C82590">
      <w:r>
        <w:separator/>
      </w:r>
    </w:p>
  </w:endnote>
  <w:endnote w:type="continuationSeparator" w:id="0">
    <w:p w14:paraId="1C8B5A88" w14:textId="77777777" w:rsidR="00D151F9" w:rsidRDefault="00D151F9" w:rsidP="00C8259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8A555C" w14:textId="77777777" w:rsidR="000771C4" w:rsidRDefault="000771C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6A83CB" w14:textId="77777777" w:rsidR="007D1E0B" w:rsidRDefault="007D1E0B" w:rsidP="007D1E0B">
    <w:pPr>
      <w:pStyle w:val="DocExCode"/>
      <w:jc w:val="center"/>
    </w:pPr>
    <w:r>
      <w:rPr>
        <w:rStyle w:val="PageNumber"/>
        <w:kern w:val="17"/>
      </w:rPr>
      <w:fldChar w:fldCharType="begin"/>
    </w:r>
    <w:r>
      <w:rPr>
        <w:rStyle w:val="PageNumber"/>
        <w:kern w:val="17"/>
      </w:rPr>
      <w:instrText xml:space="preserve"> PAGE </w:instrText>
    </w:r>
    <w:r>
      <w:rPr>
        <w:rStyle w:val="PageNumber"/>
        <w:kern w:val="17"/>
      </w:rPr>
      <w:fldChar w:fldCharType="separate"/>
    </w:r>
    <w:r>
      <w:rPr>
        <w:rStyle w:val="PageNumber"/>
        <w:kern w:val="17"/>
      </w:rPr>
      <w:t>1</w:t>
    </w:r>
    <w:r>
      <w:rPr>
        <w:rStyle w:val="PageNumber"/>
        <w:kern w:val="17"/>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52B6AE" w14:textId="77777777" w:rsidR="000771C4" w:rsidRDefault="000771C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0061853" w14:textId="77777777" w:rsidR="00D151F9" w:rsidRDefault="00D151F9" w:rsidP="00C82590">
      <w:r>
        <w:separator/>
      </w:r>
    </w:p>
  </w:footnote>
  <w:footnote w:type="continuationSeparator" w:id="0">
    <w:p w14:paraId="1CCB2C37" w14:textId="77777777" w:rsidR="00D151F9" w:rsidRDefault="00D151F9" w:rsidP="00C82590">
      <w:r>
        <w:continuationSeparator/>
      </w:r>
    </w:p>
  </w:footnote>
  <w:footnote w:id="1">
    <w:p w14:paraId="5AE679D7" w14:textId="023A64B1" w:rsidR="00291F77" w:rsidRPr="00291F77" w:rsidRDefault="00291F77">
      <w:pPr>
        <w:pStyle w:val="FootnoteText"/>
      </w:pPr>
      <w:r>
        <w:rPr>
          <w:rStyle w:val="FootnoteReference"/>
        </w:rPr>
        <w:footnoteRef/>
      </w:r>
      <w:r>
        <w:tab/>
      </w:r>
      <w:r w:rsidRPr="00291F77">
        <w:t>Th</w:t>
      </w:r>
      <w:r w:rsidR="005B6B54">
        <w:t>e</w:t>
      </w:r>
      <w:r w:rsidRPr="00291F77">
        <w:t xml:space="preserve"> Agreement is </w:t>
      </w:r>
      <w:r>
        <w:t xml:space="preserve">for use only by clearing members incorporated in England and Wales. </w:t>
      </w:r>
    </w:p>
  </w:footnote>
  <w:footnote w:id="2">
    <w:p w14:paraId="7E520AC5" w14:textId="209C850B" w:rsidR="000C3C9B" w:rsidRPr="000C3C9B" w:rsidRDefault="000C3C9B">
      <w:pPr>
        <w:pStyle w:val="FootnoteText"/>
      </w:pPr>
      <w:r>
        <w:rPr>
          <w:rStyle w:val="FootnoteReference"/>
        </w:rPr>
        <w:footnoteRef/>
      </w:r>
      <w:r>
        <w:tab/>
      </w:r>
      <w:r>
        <w:rPr>
          <w:i/>
          <w:iCs/>
        </w:rPr>
        <w:t>Drafting Note: This will cover amendments to the S</w:t>
      </w:r>
      <w:r w:rsidR="006B7020">
        <w:rPr>
          <w:i/>
          <w:iCs/>
        </w:rPr>
        <w:t xml:space="preserve">egregated Asset </w:t>
      </w:r>
      <w:r w:rsidR="008F406F">
        <w:rPr>
          <w:i/>
          <w:iCs/>
        </w:rPr>
        <w:t>Arrangement</w:t>
      </w:r>
      <w:r>
        <w:rPr>
          <w:i/>
          <w:iCs/>
        </w:rPr>
        <w:t xml:space="preserve"> and </w:t>
      </w:r>
      <w:r w:rsidR="006B7020">
        <w:rPr>
          <w:i/>
          <w:iCs/>
        </w:rPr>
        <w:t xml:space="preserve">the </w:t>
      </w:r>
      <w:r>
        <w:rPr>
          <w:i/>
          <w:iCs/>
        </w:rPr>
        <w:t>Annexes</w:t>
      </w:r>
      <w:r w:rsidR="006B7020">
        <w:rPr>
          <w:i/>
          <w:iCs/>
        </w:rPr>
        <w:t xml:space="preserve"> to the Client Clearing Agreement</w:t>
      </w:r>
      <w:r>
        <w:rPr>
          <w:i/>
          <w:iCs/>
        </w:rPr>
        <w:t xml:space="preserve"> that are made from time to time as well as additional Annexes that are added to the Agreement by virtue of the interpretation provisions at </w:t>
      </w:r>
      <w:r w:rsidR="007278E5">
        <w:rPr>
          <w:i/>
          <w:iCs/>
        </w:rPr>
        <w:t>c</w:t>
      </w:r>
      <w:r>
        <w:rPr>
          <w:i/>
          <w:iCs/>
        </w:rPr>
        <w:t>lause</w:t>
      </w:r>
      <w:r w:rsidR="006A4A9C">
        <w:rPr>
          <w:i/>
          <w:iCs/>
        </w:rPr>
        <w:t xml:space="preserve"> </w:t>
      </w:r>
      <w:r w:rsidR="008C16B3">
        <w:rPr>
          <w:i/>
          <w:iCs/>
        </w:rPr>
        <w:fldChar w:fldCharType="begin"/>
      </w:r>
      <w:r w:rsidR="008C16B3">
        <w:rPr>
          <w:i/>
          <w:iCs/>
        </w:rPr>
        <w:instrText xml:space="preserve"> REF _Ref138771394 \r \h </w:instrText>
      </w:r>
      <w:r w:rsidR="008C16B3">
        <w:rPr>
          <w:i/>
          <w:iCs/>
        </w:rPr>
      </w:r>
      <w:r w:rsidR="008C16B3">
        <w:rPr>
          <w:i/>
          <w:iCs/>
        </w:rPr>
        <w:fldChar w:fldCharType="separate"/>
      </w:r>
      <w:r w:rsidR="008C16B3">
        <w:rPr>
          <w:i/>
          <w:iCs/>
        </w:rPr>
        <w:t>32.2</w:t>
      </w:r>
      <w:r w:rsidR="008C16B3">
        <w:rPr>
          <w:i/>
          <w:iCs/>
        </w:rPr>
        <w:fldChar w:fldCharType="end"/>
      </w:r>
      <w:r w:rsidR="006A4A9C">
        <w:rPr>
          <w:i/>
          <w:iCs/>
        </w:rPr>
        <w:t xml:space="preserve"> </w:t>
      </w:r>
      <w:r w:rsidR="00902C59">
        <w:rPr>
          <w:i/>
          <w:iCs/>
        </w:rPr>
        <w:t xml:space="preserve">(General </w:t>
      </w:r>
      <w:r w:rsidR="006B3795">
        <w:rPr>
          <w:i/>
          <w:iCs/>
        </w:rPr>
        <w:t>i</w:t>
      </w:r>
      <w:r w:rsidR="00902C59">
        <w:rPr>
          <w:i/>
          <w:iCs/>
        </w:rPr>
        <w:t>nterpretation)</w:t>
      </w:r>
      <w:r>
        <w:rPr>
          <w:i/>
          <w:iCs/>
        </w:rPr>
        <w:t>.</w:t>
      </w:r>
      <w:r w:rsidRPr="000C3C9B">
        <w:t xml:space="preserve"> </w:t>
      </w:r>
    </w:p>
  </w:footnote>
  <w:footnote w:id="3">
    <w:p w14:paraId="2BA6994A" w14:textId="1D80AFF9" w:rsidR="005A1416" w:rsidRPr="00850EDD" w:rsidRDefault="00AF5DDC" w:rsidP="005A1416">
      <w:pPr>
        <w:pStyle w:val="FootnoteText"/>
        <w:rPr>
          <w:b/>
          <w:bCs/>
          <w:i/>
          <w:iCs/>
        </w:rPr>
      </w:pPr>
      <w:r w:rsidRPr="00850EDD">
        <w:rPr>
          <w:rStyle w:val="FootnoteReference"/>
        </w:rPr>
        <w:footnoteRef/>
      </w:r>
      <w:r w:rsidRPr="00850EDD">
        <w:tab/>
      </w:r>
      <w:r w:rsidRPr="00094771">
        <w:rPr>
          <w:i/>
          <w:iCs/>
        </w:rPr>
        <w:t>Drafting Note: This operates to supersede any existing ToBs the Client has entered into with the Firm</w:t>
      </w:r>
      <w:r w:rsidR="0049231E" w:rsidRPr="00094771">
        <w:rPr>
          <w:i/>
          <w:iCs/>
        </w:rPr>
        <w:t xml:space="preserve"> for those Agreed CCP Services that will be governed by the </w:t>
      </w:r>
      <w:r w:rsidR="00272180">
        <w:rPr>
          <w:i/>
          <w:iCs/>
        </w:rPr>
        <w:t>EATM</w:t>
      </w:r>
      <w:r w:rsidR="0049231E" w:rsidRPr="00094771">
        <w:rPr>
          <w:i/>
          <w:iCs/>
        </w:rPr>
        <w:t xml:space="preserve"> (thereby replacing the </w:t>
      </w:r>
      <w:r w:rsidR="00060FDE" w:rsidRPr="00094771">
        <w:rPr>
          <w:i/>
          <w:iCs/>
        </w:rPr>
        <w:t>Principal Model</w:t>
      </w:r>
      <w:r w:rsidR="0049231E" w:rsidRPr="00094771">
        <w:rPr>
          <w:i/>
          <w:iCs/>
        </w:rPr>
        <w:t>)</w:t>
      </w:r>
      <w:r w:rsidR="005A1416" w:rsidRPr="00094771">
        <w:rPr>
          <w:i/>
          <w:iCs/>
        </w:rPr>
        <w:t>.</w:t>
      </w:r>
    </w:p>
  </w:footnote>
  <w:footnote w:id="4">
    <w:p w14:paraId="2EB48A23" w14:textId="0A9E437B" w:rsidR="001E3C6F" w:rsidRPr="00094771" w:rsidRDefault="001E3C6F">
      <w:pPr>
        <w:pStyle w:val="FootnoteText"/>
        <w:rPr>
          <w:i/>
          <w:iCs/>
        </w:rPr>
      </w:pPr>
      <w:r>
        <w:rPr>
          <w:rStyle w:val="FootnoteReference"/>
        </w:rPr>
        <w:footnoteRef/>
      </w:r>
      <w:r>
        <w:tab/>
      </w:r>
      <w:r>
        <w:rPr>
          <w:i/>
          <w:iCs/>
        </w:rPr>
        <w:t xml:space="preserve">Drafting Note: This </w:t>
      </w:r>
      <w:r w:rsidR="00481BEE">
        <w:rPr>
          <w:i/>
          <w:iCs/>
        </w:rPr>
        <w:t xml:space="preserve">provision </w:t>
      </w:r>
      <w:r>
        <w:rPr>
          <w:i/>
          <w:iCs/>
        </w:rPr>
        <w:t xml:space="preserve">operates to ensure that the conversion mechanics in this </w:t>
      </w:r>
      <w:r w:rsidR="00CB79A6" w:rsidRPr="00CB79A6">
        <w:rPr>
          <w:i/>
          <w:iCs/>
        </w:rPr>
        <w:t xml:space="preserve">Client Clearing </w:t>
      </w:r>
      <w:r>
        <w:rPr>
          <w:i/>
          <w:iCs/>
        </w:rPr>
        <w:t xml:space="preserve">Agreement are not superseded by any contrary provision of any Principal Model Agreement </w:t>
      </w:r>
      <w:r w:rsidR="0047452F">
        <w:rPr>
          <w:i/>
          <w:iCs/>
        </w:rPr>
        <w:t xml:space="preserve">previously </w:t>
      </w:r>
      <w:r w:rsidR="00481BEE">
        <w:rPr>
          <w:i/>
          <w:iCs/>
        </w:rPr>
        <w:t>agreed</w:t>
      </w:r>
      <w:r w:rsidR="0047452F">
        <w:rPr>
          <w:i/>
          <w:iCs/>
        </w:rPr>
        <w:t xml:space="preserve"> by the</w:t>
      </w:r>
      <w:r>
        <w:rPr>
          <w:i/>
          <w:iCs/>
        </w:rPr>
        <w:t xml:space="preserve"> Client and the Firm</w:t>
      </w:r>
      <w:r w:rsidR="0047452F">
        <w:rPr>
          <w:i/>
          <w:iCs/>
        </w:rPr>
        <w:t xml:space="preserve">. </w:t>
      </w:r>
      <w:r w:rsidR="00481BEE">
        <w:rPr>
          <w:i/>
          <w:iCs/>
        </w:rPr>
        <w:t>T</w:t>
      </w:r>
      <w:r w:rsidR="00481BEE" w:rsidRPr="00481BEE">
        <w:rPr>
          <w:i/>
          <w:iCs/>
        </w:rPr>
        <w:t xml:space="preserve">he conversion mechanics can be </w:t>
      </w:r>
      <w:r w:rsidR="00481BEE">
        <w:rPr>
          <w:i/>
          <w:iCs/>
        </w:rPr>
        <w:t xml:space="preserve">fully </w:t>
      </w:r>
      <w:r w:rsidR="00481BEE" w:rsidRPr="00481BEE">
        <w:rPr>
          <w:i/>
          <w:iCs/>
        </w:rPr>
        <w:t xml:space="preserve">documented in this Client Clearing Agreement without </w:t>
      </w:r>
      <w:r w:rsidR="00481BEE">
        <w:rPr>
          <w:i/>
          <w:iCs/>
        </w:rPr>
        <w:t>requiring an</w:t>
      </w:r>
      <w:r w:rsidR="00481BEE" w:rsidRPr="00481BEE">
        <w:rPr>
          <w:i/>
          <w:iCs/>
        </w:rPr>
        <w:t xml:space="preserve"> amend</w:t>
      </w:r>
      <w:r w:rsidR="00481BEE">
        <w:rPr>
          <w:i/>
          <w:iCs/>
        </w:rPr>
        <w:t>ment to</w:t>
      </w:r>
      <w:r w:rsidR="00481BEE" w:rsidRPr="00481BEE">
        <w:rPr>
          <w:i/>
          <w:iCs/>
        </w:rPr>
        <w:t xml:space="preserve"> any existing Principal Model Agreement agreed by the Client and the Firm and without the need for a side letter between clearing members and their clients.</w:t>
      </w:r>
      <w:r w:rsidR="00481BEE">
        <w:rPr>
          <w:i/>
          <w:iCs/>
        </w:rPr>
        <w:t xml:space="preserve"> </w:t>
      </w:r>
      <w:r w:rsidR="00481BEE" w:rsidRPr="00481BEE">
        <w:rPr>
          <w:i/>
          <w:iCs/>
        </w:rPr>
        <w:t>However, if the Firm and the Client enter into a Principal Model Agreement</w:t>
      </w:r>
      <w:r w:rsidR="002C6D1E" w:rsidRPr="002C6D1E">
        <w:t xml:space="preserve"> </w:t>
      </w:r>
      <w:r w:rsidR="002C6D1E" w:rsidRPr="002C6D1E">
        <w:rPr>
          <w:i/>
          <w:iCs/>
        </w:rPr>
        <w:t>with respect to a CCP service other than an Agreed CCP Service</w:t>
      </w:r>
      <w:r w:rsidR="00481BEE" w:rsidRPr="00481BEE">
        <w:rPr>
          <w:i/>
          <w:iCs/>
        </w:rPr>
        <w:t xml:space="preserve"> </w:t>
      </w:r>
      <w:r w:rsidR="00481BEE" w:rsidRPr="00094771">
        <w:rPr>
          <w:i/>
          <w:iCs/>
          <w:u w:val="single"/>
        </w:rPr>
        <w:t>after</w:t>
      </w:r>
      <w:r w:rsidR="00481BEE" w:rsidRPr="00481BEE">
        <w:rPr>
          <w:i/>
          <w:iCs/>
        </w:rPr>
        <w:t xml:space="preserve"> they have entered into this </w:t>
      </w:r>
      <w:r w:rsidR="00257DBB" w:rsidRPr="00257DBB">
        <w:rPr>
          <w:i/>
          <w:iCs/>
        </w:rPr>
        <w:t xml:space="preserve">Client Clearing </w:t>
      </w:r>
      <w:r w:rsidR="00481BEE" w:rsidRPr="00481BEE">
        <w:rPr>
          <w:i/>
          <w:iCs/>
        </w:rPr>
        <w:t xml:space="preserve">Agreement, it </w:t>
      </w:r>
      <w:r w:rsidR="002C6D1E">
        <w:rPr>
          <w:i/>
          <w:iCs/>
        </w:rPr>
        <w:t>may be appropriate</w:t>
      </w:r>
      <w:r w:rsidR="00481BEE" w:rsidRPr="00481BEE">
        <w:rPr>
          <w:i/>
          <w:iCs/>
        </w:rPr>
        <w:t xml:space="preserve"> to include the following language in that Principal Model Agreement (specifically, at paragraph 9 of the Annex to the FIA ToBs 2018) to ensure that the </w:t>
      </w:r>
      <w:r w:rsidR="00803CBF">
        <w:rPr>
          <w:i/>
          <w:iCs/>
        </w:rPr>
        <w:t>new</w:t>
      </w:r>
      <w:r w:rsidR="00481BEE" w:rsidRPr="00481BEE">
        <w:rPr>
          <w:i/>
          <w:iCs/>
        </w:rPr>
        <w:t xml:space="preserve"> Principal Model Agreement</w:t>
      </w:r>
      <w:r w:rsidR="00803CBF">
        <w:rPr>
          <w:i/>
          <w:iCs/>
        </w:rPr>
        <w:t xml:space="preserve"> is capable of being converted at a future point in time</w:t>
      </w:r>
      <w:r w:rsidR="00481BEE" w:rsidRPr="00481BEE">
        <w:rPr>
          <w:i/>
          <w:iCs/>
        </w:rPr>
        <w:t>: "Clause</w:t>
      </w:r>
      <w:r w:rsidR="00EB3801">
        <w:rPr>
          <w:i/>
          <w:iCs/>
        </w:rPr>
        <w:t xml:space="preserve"> </w:t>
      </w:r>
      <w:r w:rsidR="00EB3801">
        <w:rPr>
          <w:i/>
          <w:iCs/>
        </w:rPr>
        <w:fldChar w:fldCharType="begin"/>
      </w:r>
      <w:r w:rsidR="00EB3801">
        <w:rPr>
          <w:i/>
          <w:iCs/>
        </w:rPr>
        <w:instrText xml:space="preserve"> REF _Ref138857568 \r \h </w:instrText>
      </w:r>
      <w:r w:rsidR="00EB3801">
        <w:rPr>
          <w:i/>
          <w:iCs/>
        </w:rPr>
      </w:r>
      <w:r w:rsidR="00EB3801">
        <w:rPr>
          <w:i/>
          <w:iCs/>
        </w:rPr>
        <w:fldChar w:fldCharType="separate"/>
      </w:r>
      <w:r w:rsidR="00EB3801">
        <w:rPr>
          <w:i/>
          <w:iCs/>
        </w:rPr>
        <w:t>3.6</w:t>
      </w:r>
      <w:r w:rsidR="00EB3801">
        <w:rPr>
          <w:i/>
          <w:iCs/>
        </w:rPr>
        <w:fldChar w:fldCharType="end"/>
      </w:r>
      <w:r w:rsidR="00481BEE" w:rsidRPr="00481BEE">
        <w:rPr>
          <w:i/>
          <w:iCs/>
        </w:rPr>
        <w:t xml:space="preserve"> (Conversion) of the FIA Client Clearing Agreement 202</w:t>
      </w:r>
      <w:r w:rsidR="00603A00">
        <w:rPr>
          <w:i/>
          <w:iCs/>
        </w:rPr>
        <w:t>5</w:t>
      </w:r>
      <w:r w:rsidR="00481BEE" w:rsidRPr="00481BEE">
        <w:rPr>
          <w:i/>
          <w:iCs/>
        </w:rPr>
        <w:t xml:space="preserve"> - Version 1 (</w:t>
      </w:r>
      <w:r w:rsidR="00272180">
        <w:rPr>
          <w:i/>
          <w:iCs/>
        </w:rPr>
        <w:t>EATM</w:t>
      </w:r>
      <w:r w:rsidR="00481BEE" w:rsidRPr="00481BEE">
        <w:rPr>
          <w:i/>
          <w:iCs/>
        </w:rPr>
        <w:t xml:space="preserve">) agreed by the Firm and the Client on [insert date of agreement] shall be incorporated into this Agreement and </w:t>
      </w:r>
      <w:r w:rsidR="00481BEE">
        <w:rPr>
          <w:i/>
          <w:iCs/>
        </w:rPr>
        <w:t xml:space="preserve">shall prevail </w:t>
      </w:r>
      <w:r w:rsidR="00481BEE" w:rsidRPr="00481BEE">
        <w:rPr>
          <w:i/>
          <w:iCs/>
        </w:rPr>
        <w:t>in the event of any conflict between</w:t>
      </w:r>
      <w:r w:rsidR="00481BEE">
        <w:rPr>
          <w:i/>
          <w:iCs/>
        </w:rPr>
        <w:t xml:space="preserve"> clause </w:t>
      </w:r>
      <w:r w:rsidR="00EB3801">
        <w:rPr>
          <w:i/>
          <w:iCs/>
        </w:rPr>
        <w:fldChar w:fldCharType="begin"/>
      </w:r>
      <w:r w:rsidR="00EB3801">
        <w:rPr>
          <w:i/>
          <w:iCs/>
        </w:rPr>
        <w:instrText xml:space="preserve"> REF _Ref138857568 \r \h </w:instrText>
      </w:r>
      <w:r w:rsidR="00EB3801">
        <w:rPr>
          <w:i/>
          <w:iCs/>
        </w:rPr>
      </w:r>
      <w:r w:rsidR="00EB3801">
        <w:rPr>
          <w:i/>
          <w:iCs/>
        </w:rPr>
        <w:fldChar w:fldCharType="separate"/>
      </w:r>
      <w:r w:rsidR="00EB3801">
        <w:rPr>
          <w:i/>
          <w:iCs/>
        </w:rPr>
        <w:t>3.6</w:t>
      </w:r>
      <w:r w:rsidR="00EB3801">
        <w:rPr>
          <w:i/>
          <w:iCs/>
        </w:rPr>
        <w:fldChar w:fldCharType="end"/>
      </w:r>
      <w:r w:rsidR="00481BEE">
        <w:rPr>
          <w:i/>
          <w:iCs/>
        </w:rPr>
        <w:t xml:space="preserve"> </w:t>
      </w:r>
      <w:r w:rsidR="003E6537">
        <w:rPr>
          <w:i/>
          <w:iCs/>
        </w:rPr>
        <w:t xml:space="preserve">(Conversion) </w:t>
      </w:r>
      <w:r w:rsidR="00481BEE">
        <w:rPr>
          <w:i/>
          <w:iCs/>
        </w:rPr>
        <w:t>and</w:t>
      </w:r>
      <w:r w:rsidR="00481BEE" w:rsidRPr="00481BEE">
        <w:rPr>
          <w:i/>
          <w:iCs/>
        </w:rPr>
        <w:t xml:space="preserve"> the terms of this Agreement</w:t>
      </w:r>
      <w:r w:rsidR="00481BEE">
        <w:rPr>
          <w:i/>
          <w:iCs/>
        </w:rPr>
        <w:t>.”</w:t>
      </w:r>
    </w:p>
  </w:footnote>
  <w:footnote w:id="5">
    <w:p w14:paraId="478A7AF9" w14:textId="436C7C99" w:rsidR="005A1416" w:rsidRPr="00094771" w:rsidRDefault="005A1416">
      <w:pPr>
        <w:pStyle w:val="FootnoteText"/>
        <w:rPr>
          <w:b/>
          <w:bCs/>
        </w:rPr>
      </w:pPr>
      <w:r w:rsidRPr="001E3C6F">
        <w:rPr>
          <w:rStyle w:val="FootnoteReference"/>
        </w:rPr>
        <w:footnoteRef/>
      </w:r>
      <w:r w:rsidRPr="001E3C6F">
        <w:tab/>
      </w:r>
      <w:r w:rsidRPr="00094771">
        <w:rPr>
          <w:i/>
          <w:iCs/>
        </w:rPr>
        <w:t>Drafting Note: This is not relevant for new Clients</w:t>
      </w:r>
      <w:r w:rsidR="001C06A6" w:rsidRPr="00094771">
        <w:rPr>
          <w:i/>
          <w:iCs/>
        </w:rPr>
        <w:t xml:space="preserve"> and can be deleted from agreements with new Clients.</w:t>
      </w:r>
    </w:p>
  </w:footnote>
  <w:footnote w:id="6">
    <w:p w14:paraId="3F682818" w14:textId="56ED0E92" w:rsidR="00D6598C" w:rsidRPr="001E3C6F" w:rsidRDefault="00D6598C">
      <w:pPr>
        <w:pStyle w:val="FootnoteText"/>
      </w:pPr>
      <w:r w:rsidRPr="001E3C6F">
        <w:rPr>
          <w:rStyle w:val="FootnoteReference"/>
        </w:rPr>
        <w:footnoteRef/>
      </w:r>
      <w:r w:rsidRPr="001E3C6F">
        <w:tab/>
      </w:r>
      <w:r w:rsidR="008163F1" w:rsidRPr="00094771">
        <w:rPr>
          <w:i/>
          <w:iCs/>
        </w:rPr>
        <w:t>Drafting Note</w:t>
      </w:r>
      <w:r w:rsidRPr="00094771">
        <w:rPr>
          <w:i/>
          <w:iCs/>
        </w:rPr>
        <w:t>: It must only be possible for the Firm, and not its Associates, to clear</w:t>
      </w:r>
      <w:r w:rsidR="008D3668" w:rsidRPr="00094771">
        <w:rPr>
          <w:i/>
          <w:iCs/>
        </w:rPr>
        <w:t xml:space="preserve"> transactions through the CCP as the Firm (and not its Associate) acts as trustee in respect of the </w:t>
      </w:r>
      <w:r w:rsidR="002A2244">
        <w:rPr>
          <w:i/>
          <w:iCs/>
        </w:rPr>
        <w:t>Segregated Assets Arrangement</w:t>
      </w:r>
      <w:r w:rsidR="008D3668" w:rsidRPr="00094771">
        <w:rPr>
          <w:i/>
          <w:iCs/>
        </w:rPr>
        <w:t>.</w:t>
      </w:r>
    </w:p>
  </w:footnote>
  <w:footnote w:id="7">
    <w:p w14:paraId="42C2C3D1" w14:textId="5D3CEA4C" w:rsidR="00651617" w:rsidRPr="00651617" w:rsidRDefault="00651617">
      <w:pPr>
        <w:pStyle w:val="FootnoteText"/>
      </w:pPr>
      <w:r>
        <w:rPr>
          <w:rStyle w:val="FootnoteReference"/>
        </w:rPr>
        <w:footnoteRef/>
      </w:r>
      <w:r>
        <w:tab/>
      </w:r>
      <w:r>
        <w:rPr>
          <w:i/>
          <w:iCs/>
        </w:rPr>
        <w:t>Drafting Note: Delete as applicable.</w:t>
      </w:r>
      <w:r w:rsidRPr="00651617">
        <w:t xml:space="preserve"> </w:t>
      </w:r>
    </w:p>
  </w:footnote>
  <w:footnote w:id="8">
    <w:p w14:paraId="1C626C47" w14:textId="3AF92E5F" w:rsidR="002070AD" w:rsidRPr="00DE2943" w:rsidRDefault="002070AD">
      <w:pPr>
        <w:pStyle w:val="FootnoteText"/>
      </w:pPr>
      <w:r w:rsidRPr="00DE2943">
        <w:rPr>
          <w:rStyle w:val="FootnoteReference"/>
        </w:rPr>
        <w:footnoteRef/>
      </w:r>
      <w:r w:rsidRPr="00DE2943">
        <w:tab/>
      </w:r>
      <w:r w:rsidRPr="00DE2943">
        <w:rPr>
          <w:i/>
          <w:iCs/>
        </w:rPr>
        <w:t>Drafting Note: The effects of such porting are outlined in clause</w:t>
      </w:r>
      <w:r w:rsidR="006A4A9C" w:rsidRPr="00DE2943">
        <w:rPr>
          <w:i/>
          <w:iCs/>
        </w:rPr>
        <w:t xml:space="preserve"> </w:t>
      </w:r>
      <w:r w:rsidR="0055300A">
        <w:rPr>
          <w:i/>
          <w:iCs/>
        </w:rPr>
        <w:fldChar w:fldCharType="begin"/>
      </w:r>
      <w:r w:rsidR="0055300A">
        <w:rPr>
          <w:i/>
          <w:iCs/>
        </w:rPr>
        <w:instrText xml:space="preserve"> REF _Ref134561083 \r \h </w:instrText>
      </w:r>
      <w:r w:rsidR="0055300A">
        <w:rPr>
          <w:i/>
          <w:iCs/>
        </w:rPr>
      </w:r>
      <w:r w:rsidR="0055300A">
        <w:rPr>
          <w:i/>
          <w:iCs/>
        </w:rPr>
        <w:fldChar w:fldCharType="separate"/>
      </w:r>
      <w:r w:rsidR="0055300A">
        <w:rPr>
          <w:i/>
          <w:iCs/>
        </w:rPr>
        <w:t>18</w:t>
      </w:r>
      <w:r w:rsidR="0055300A">
        <w:rPr>
          <w:i/>
          <w:iCs/>
        </w:rPr>
        <w:fldChar w:fldCharType="end"/>
      </w:r>
      <w:r w:rsidR="006A4A9C" w:rsidRPr="00DE2943">
        <w:rPr>
          <w:i/>
          <w:iCs/>
        </w:rPr>
        <w:t xml:space="preserve"> </w:t>
      </w:r>
      <w:r w:rsidR="00C03BD8" w:rsidRPr="00DE2943">
        <w:rPr>
          <w:i/>
          <w:iCs/>
        </w:rPr>
        <w:t>(Effect of termination and transfers of Transactions)</w:t>
      </w:r>
      <w:r w:rsidR="00B5605E" w:rsidRPr="00DE2943">
        <w:t xml:space="preserve">. </w:t>
      </w:r>
    </w:p>
  </w:footnote>
  <w:footnote w:id="9">
    <w:p w14:paraId="616EBB1F" w14:textId="272B2A8F" w:rsidR="0025632C" w:rsidRPr="00DE2943" w:rsidRDefault="0025632C">
      <w:pPr>
        <w:pStyle w:val="FootnoteText"/>
      </w:pPr>
      <w:r w:rsidRPr="00DE2943">
        <w:rPr>
          <w:rStyle w:val="FootnoteReference"/>
        </w:rPr>
        <w:footnoteRef/>
      </w:r>
      <w:r w:rsidRPr="00DE2943">
        <w:tab/>
      </w:r>
      <w:r w:rsidRPr="00DE2943">
        <w:rPr>
          <w:i/>
          <w:iCs/>
        </w:rPr>
        <w:t>Drafting Note: Delete as applicable.</w:t>
      </w:r>
      <w:r w:rsidRPr="00DE2943">
        <w:t xml:space="preserve"> </w:t>
      </w:r>
    </w:p>
  </w:footnote>
  <w:footnote w:id="10">
    <w:p w14:paraId="52245847" w14:textId="765685A0" w:rsidR="0025632C" w:rsidRPr="00DE2943" w:rsidRDefault="0025632C">
      <w:pPr>
        <w:pStyle w:val="FootnoteText"/>
      </w:pPr>
      <w:r w:rsidRPr="00DE2943">
        <w:rPr>
          <w:rStyle w:val="FootnoteReference"/>
        </w:rPr>
        <w:footnoteRef/>
      </w:r>
      <w:r w:rsidRPr="00DE2943">
        <w:tab/>
      </w:r>
      <w:r w:rsidRPr="00DE2943">
        <w:rPr>
          <w:i/>
          <w:iCs/>
        </w:rPr>
        <w:t>Drafting Note: Delete as applicable.</w:t>
      </w:r>
      <w:r w:rsidRPr="00DE2943">
        <w:t xml:space="preserve"> </w:t>
      </w:r>
    </w:p>
  </w:footnote>
  <w:footnote w:id="11">
    <w:p w14:paraId="339E3E20" w14:textId="63BCCB9B" w:rsidR="008D74BC" w:rsidRPr="00DE2943" w:rsidRDefault="008D74BC">
      <w:pPr>
        <w:pStyle w:val="FootnoteText"/>
      </w:pPr>
      <w:r w:rsidRPr="00DE2943">
        <w:rPr>
          <w:rStyle w:val="FootnoteReference"/>
        </w:rPr>
        <w:footnoteRef/>
      </w:r>
      <w:r w:rsidRPr="00DE2943">
        <w:tab/>
      </w:r>
      <w:r w:rsidR="00C36273" w:rsidRPr="00DE2943">
        <w:rPr>
          <w:i/>
          <w:iCs/>
        </w:rPr>
        <w:t>Drafting Note: This wording has been slightly revised from clause 6.1 of the FIA ToBs</w:t>
      </w:r>
      <w:r w:rsidR="002155A3" w:rsidRPr="00DE2943">
        <w:rPr>
          <w:i/>
          <w:iCs/>
        </w:rPr>
        <w:t xml:space="preserve"> 2018</w:t>
      </w:r>
      <w:r w:rsidR="00C36273" w:rsidRPr="00DE2943">
        <w:rPr>
          <w:i/>
          <w:iCs/>
        </w:rPr>
        <w:t xml:space="preserve"> to reflect that there is no transaction between the Firm and the Client pursuant to which such payments and obligations would otherwise fall due.</w:t>
      </w:r>
      <w:r w:rsidRPr="00DE2943">
        <w:t xml:space="preserve"> </w:t>
      </w:r>
    </w:p>
  </w:footnote>
  <w:footnote w:id="12">
    <w:p w14:paraId="5DE8C19D" w14:textId="77777777" w:rsidR="002800C2" w:rsidRPr="00DE2943" w:rsidRDefault="002800C2" w:rsidP="002800C2">
      <w:pPr>
        <w:pStyle w:val="FootnoteText"/>
      </w:pPr>
      <w:r w:rsidRPr="00DE2943">
        <w:rPr>
          <w:rStyle w:val="FootnoteReference"/>
        </w:rPr>
        <w:footnoteRef/>
      </w:r>
      <w:r w:rsidRPr="00DE2943">
        <w:tab/>
      </w:r>
      <w:r w:rsidRPr="00DE2943">
        <w:rPr>
          <w:i/>
          <w:iCs/>
        </w:rPr>
        <w:t>Drafting Note: Delete as applicable.</w:t>
      </w:r>
      <w:r w:rsidRPr="00DE2943">
        <w:t xml:space="preserve"> </w:t>
      </w:r>
    </w:p>
  </w:footnote>
  <w:footnote w:id="13">
    <w:p w14:paraId="4851E329" w14:textId="0BD21658" w:rsidR="00436ED5" w:rsidRPr="00DE2943" w:rsidRDefault="00436ED5">
      <w:pPr>
        <w:pStyle w:val="FootnoteText"/>
      </w:pPr>
      <w:r w:rsidRPr="00DE2943">
        <w:rPr>
          <w:rStyle w:val="FootnoteReference"/>
        </w:rPr>
        <w:footnoteRef/>
      </w:r>
      <w:r w:rsidRPr="00DE2943">
        <w:tab/>
      </w:r>
      <w:r w:rsidRPr="00DE2943">
        <w:rPr>
          <w:i/>
          <w:iCs/>
        </w:rPr>
        <w:t>Drafting Note: Delete as applicable.</w:t>
      </w:r>
      <w:r w:rsidRPr="00DE2943">
        <w:t xml:space="preserve"> </w:t>
      </w:r>
    </w:p>
  </w:footnote>
  <w:footnote w:id="14">
    <w:p w14:paraId="2DCAB3CD" w14:textId="77777777" w:rsidR="00C638C0" w:rsidRPr="00DE2943" w:rsidRDefault="00C638C0" w:rsidP="00C638C0">
      <w:pPr>
        <w:pStyle w:val="FootnoteText"/>
      </w:pPr>
      <w:r w:rsidRPr="00DE2943">
        <w:rPr>
          <w:rStyle w:val="FootnoteReference"/>
        </w:rPr>
        <w:footnoteRef/>
      </w:r>
      <w:r w:rsidRPr="00DE2943">
        <w:tab/>
      </w:r>
      <w:r w:rsidRPr="00DE2943">
        <w:rPr>
          <w:i/>
          <w:iCs/>
        </w:rPr>
        <w:t>Drafting Note: If margin posted by the Client to the Firm is then posted by the Firm to the CCP and, in accordance with the Rules of that CCP, the CCP returns margin to the Firm that is not equivalent to the margin posted by the Client to the Firm, the Firm is only obliged to provide Equivalent Title Transfer Assets</w:t>
      </w:r>
      <w:r w:rsidRPr="00DE2943" w:rsidDel="00746B1C">
        <w:rPr>
          <w:i/>
          <w:iCs/>
        </w:rPr>
        <w:t xml:space="preserve"> </w:t>
      </w:r>
      <w:r w:rsidRPr="00DE2943">
        <w:rPr>
          <w:i/>
          <w:iCs/>
        </w:rPr>
        <w:t>in respect of the margin returned by the CCP (as opposed to margin equivalent to the margin originally posted by the Client to the Firm). If a Firm and its Client wish to provide that the margin returned by the CCP which is then returned by the Firm to the Client is equivalent to that originally transferred by the Client, then the Firm and the Client will need to specify “Alternative Margin” as “Not Applicable” in the Annex (see clause</w:t>
      </w:r>
      <w:r>
        <w:rPr>
          <w:i/>
          <w:iCs/>
        </w:rPr>
        <w:t xml:space="preserve"> </w:t>
      </w:r>
      <w:r>
        <w:rPr>
          <w:i/>
          <w:iCs/>
        </w:rPr>
        <w:fldChar w:fldCharType="begin"/>
      </w:r>
      <w:r>
        <w:rPr>
          <w:i/>
          <w:iCs/>
        </w:rPr>
        <w:instrText xml:space="preserve"> REF _Ref152001357 \r \h </w:instrText>
      </w:r>
      <w:r>
        <w:rPr>
          <w:i/>
          <w:iCs/>
        </w:rPr>
      </w:r>
      <w:r>
        <w:rPr>
          <w:i/>
          <w:iCs/>
        </w:rPr>
        <w:fldChar w:fldCharType="separate"/>
      </w:r>
      <w:r>
        <w:rPr>
          <w:i/>
          <w:iCs/>
        </w:rPr>
        <w:t>7.5</w:t>
      </w:r>
      <w:r>
        <w:rPr>
          <w:i/>
          <w:iCs/>
        </w:rPr>
        <w:fldChar w:fldCharType="end"/>
      </w:r>
      <w:r>
        <w:rPr>
          <w:i/>
          <w:iCs/>
        </w:rPr>
        <w:t xml:space="preserve"> </w:t>
      </w:r>
      <w:r w:rsidRPr="00DE2943">
        <w:rPr>
          <w:i/>
          <w:iCs/>
        </w:rPr>
        <w:t xml:space="preserve">(Return of alternative margin)). </w:t>
      </w:r>
    </w:p>
  </w:footnote>
  <w:footnote w:id="15">
    <w:p w14:paraId="23B42A05" w14:textId="5B7D9161" w:rsidR="00436ED5" w:rsidRPr="00DE2943" w:rsidRDefault="00436ED5">
      <w:pPr>
        <w:pStyle w:val="FootnoteText"/>
      </w:pPr>
      <w:r w:rsidRPr="00DE2943">
        <w:rPr>
          <w:rStyle w:val="FootnoteReference"/>
        </w:rPr>
        <w:footnoteRef/>
      </w:r>
      <w:r w:rsidRPr="00DE2943">
        <w:tab/>
      </w:r>
      <w:r w:rsidRPr="00DE2943">
        <w:rPr>
          <w:i/>
          <w:iCs/>
        </w:rPr>
        <w:t>Drafting Note: Delete as applicable.</w:t>
      </w:r>
      <w:r w:rsidRPr="00DE2943">
        <w:t xml:space="preserve"> </w:t>
      </w:r>
    </w:p>
  </w:footnote>
  <w:footnote w:id="16">
    <w:p w14:paraId="3EBE52D4" w14:textId="226038CE" w:rsidR="00436ED5" w:rsidRPr="00354E56" w:rsidRDefault="00436ED5">
      <w:pPr>
        <w:pStyle w:val="FootnoteText"/>
      </w:pPr>
      <w:r w:rsidRPr="00354E56">
        <w:rPr>
          <w:rStyle w:val="FootnoteReference"/>
        </w:rPr>
        <w:footnoteRef/>
      </w:r>
      <w:r w:rsidRPr="00354E56">
        <w:tab/>
      </w:r>
      <w:r w:rsidRPr="00354E56">
        <w:rPr>
          <w:i/>
          <w:iCs/>
        </w:rPr>
        <w:t>Drafting Note: Delete as applicable.</w:t>
      </w:r>
      <w:r w:rsidRPr="00354E56">
        <w:t xml:space="preserve"> </w:t>
      </w:r>
    </w:p>
  </w:footnote>
  <w:footnote w:id="17">
    <w:p w14:paraId="1E5B4E27" w14:textId="77777777" w:rsidR="003E2F3C" w:rsidRPr="00354E56" w:rsidRDefault="003E2F3C" w:rsidP="003E2F3C">
      <w:pPr>
        <w:pStyle w:val="FootnoteText"/>
      </w:pPr>
      <w:r w:rsidRPr="00354E56">
        <w:rPr>
          <w:rStyle w:val="FootnoteReference"/>
        </w:rPr>
        <w:footnoteRef/>
      </w:r>
      <w:r w:rsidRPr="00354E56">
        <w:tab/>
      </w:r>
      <w:r w:rsidRPr="00354E56">
        <w:rPr>
          <w:i/>
          <w:iCs/>
        </w:rPr>
        <w:t>Drafting Note: Delete as applicable.</w:t>
      </w:r>
      <w:r w:rsidRPr="00354E56">
        <w:t xml:space="preserve"> </w:t>
      </w:r>
    </w:p>
  </w:footnote>
  <w:footnote w:id="18">
    <w:p w14:paraId="2554CC14" w14:textId="639D6001" w:rsidR="00436ED5" w:rsidRPr="00354E56" w:rsidRDefault="00436ED5">
      <w:pPr>
        <w:pStyle w:val="FootnoteText"/>
      </w:pPr>
      <w:r w:rsidRPr="00354E56">
        <w:rPr>
          <w:rStyle w:val="FootnoteReference"/>
        </w:rPr>
        <w:footnoteRef/>
      </w:r>
      <w:r w:rsidRPr="00354E56">
        <w:tab/>
      </w:r>
      <w:r w:rsidRPr="00354E56">
        <w:rPr>
          <w:i/>
          <w:iCs/>
        </w:rPr>
        <w:t>Drafting Note: Delete as applicable.</w:t>
      </w:r>
      <w:r w:rsidRPr="002E4386">
        <w:rPr>
          <w:i/>
          <w:iCs/>
        </w:rPr>
        <w:t xml:space="preserve"> </w:t>
      </w:r>
      <w:r w:rsidR="00562272" w:rsidRPr="002E4386">
        <w:rPr>
          <w:i/>
          <w:iCs/>
        </w:rPr>
        <w:t xml:space="preserve">This provision will only be </w:t>
      </w:r>
      <w:r w:rsidR="008F2CCA">
        <w:rPr>
          <w:i/>
          <w:iCs/>
        </w:rPr>
        <w:t>applicable</w:t>
      </w:r>
      <w:r w:rsidR="008F2CCA" w:rsidRPr="002E4386">
        <w:rPr>
          <w:i/>
          <w:iCs/>
        </w:rPr>
        <w:t xml:space="preserve"> </w:t>
      </w:r>
      <w:r w:rsidR="00562272" w:rsidRPr="002E4386">
        <w:rPr>
          <w:i/>
          <w:iCs/>
        </w:rPr>
        <w:t xml:space="preserve">if </w:t>
      </w:r>
      <w:r w:rsidR="005B1DCB">
        <w:rPr>
          <w:i/>
          <w:iCs/>
        </w:rPr>
        <w:t>the</w:t>
      </w:r>
      <w:r w:rsidR="005B1DCB" w:rsidRPr="002E4386">
        <w:rPr>
          <w:i/>
          <w:iCs/>
        </w:rPr>
        <w:t xml:space="preserve"> </w:t>
      </w:r>
      <w:r w:rsidR="00562272" w:rsidRPr="002E4386">
        <w:rPr>
          <w:i/>
          <w:iCs/>
        </w:rPr>
        <w:t>assets</w:t>
      </w:r>
      <w:r w:rsidR="00461B1E" w:rsidRPr="00461B1E">
        <w:rPr>
          <w:i/>
          <w:iCs/>
        </w:rPr>
        <w:t xml:space="preserve"> </w:t>
      </w:r>
      <w:r w:rsidR="00461B1E" w:rsidRPr="00C94784">
        <w:rPr>
          <w:i/>
          <w:iCs/>
        </w:rPr>
        <w:t>transferred</w:t>
      </w:r>
      <w:r w:rsidR="00461B1E">
        <w:rPr>
          <w:i/>
          <w:iCs/>
        </w:rPr>
        <w:t xml:space="preserve"> to the Firm by the Client</w:t>
      </w:r>
      <w:r w:rsidR="00562272" w:rsidRPr="002E4386">
        <w:rPr>
          <w:i/>
          <w:iCs/>
        </w:rPr>
        <w:t xml:space="preserve"> fall within the definition of “financial collateral”. </w:t>
      </w:r>
    </w:p>
  </w:footnote>
  <w:footnote w:id="19">
    <w:p w14:paraId="63FA111A" w14:textId="78204F39" w:rsidR="00166687" w:rsidRPr="00354E56" w:rsidRDefault="00166687" w:rsidP="00166687">
      <w:pPr>
        <w:pStyle w:val="FootnoteText"/>
      </w:pPr>
      <w:r w:rsidRPr="00354E56">
        <w:rPr>
          <w:rStyle w:val="FootnoteReference"/>
        </w:rPr>
        <w:footnoteRef/>
      </w:r>
      <w:r w:rsidRPr="00354E56">
        <w:tab/>
      </w:r>
      <w:r w:rsidRPr="00354E56">
        <w:rPr>
          <w:i/>
          <w:iCs/>
        </w:rPr>
        <w:t xml:space="preserve">Drafting Note: If amounts are due to the CCP on termination, the CCP will resort to its default processes and waterfall, including recourse to the default fund, and will have a claim against the estate of the Defaulting Firm for any shortfall but will have no recourse to the Client. It is, however, not necessary to specify this in this </w:t>
      </w:r>
      <w:r w:rsidR="00881BEA" w:rsidRPr="00881BEA">
        <w:rPr>
          <w:i/>
          <w:iCs/>
        </w:rPr>
        <w:t xml:space="preserve">Client Clearing </w:t>
      </w:r>
      <w:r w:rsidRPr="00354E56">
        <w:rPr>
          <w:i/>
          <w:iCs/>
        </w:rPr>
        <w:t>Agreement given that there is no contractual nexus between the CCP and the Firm.</w:t>
      </w:r>
      <w:r w:rsidR="009B2155" w:rsidRPr="00354E56">
        <w:rPr>
          <w:i/>
          <w:iCs/>
        </w:rPr>
        <w:t xml:space="preserve"> The CCP also has rights in accordance with EMIR to pay any termination amounts directly to the Client following a Firm Trigger Event. It is not, however, necessary to refer to these rights in this </w:t>
      </w:r>
      <w:r w:rsidR="00881BEA" w:rsidRPr="00881BEA">
        <w:rPr>
          <w:i/>
          <w:iCs/>
        </w:rPr>
        <w:t xml:space="preserve">Client Clearing </w:t>
      </w:r>
      <w:r w:rsidR="009B2155" w:rsidRPr="00354E56">
        <w:rPr>
          <w:i/>
          <w:iCs/>
        </w:rPr>
        <w:t xml:space="preserve">Agreement given that the CCP is not a party to this </w:t>
      </w:r>
      <w:r w:rsidR="00881BEA" w:rsidRPr="00881BEA">
        <w:rPr>
          <w:i/>
          <w:iCs/>
        </w:rPr>
        <w:t xml:space="preserve">Client Clearing </w:t>
      </w:r>
      <w:r w:rsidR="009B2155" w:rsidRPr="00354E56">
        <w:rPr>
          <w:i/>
          <w:iCs/>
        </w:rPr>
        <w:t>Agreement and in any case these powers arise as a matter of law.</w:t>
      </w:r>
    </w:p>
  </w:footnote>
  <w:footnote w:id="20">
    <w:p w14:paraId="643A8D39" w14:textId="1F67056C" w:rsidR="00397504" w:rsidRPr="00354E56" w:rsidRDefault="00397504">
      <w:pPr>
        <w:pStyle w:val="FootnoteText"/>
        <w:rPr>
          <w:b/>
          <w:bCs/>
          <w:i/>
          <w:iCs/>
        </w:rPr>
      </w:pPr>
      <w:r w:rsidRPr="00354E56">
        <w:rPr>
          <w:rStyle w:val="FootnoteReference"/>
        </w:rPr>
        <w:footnoteRef/>
      </w:r>
      <w:r w:rsidRPr="00354E56">
        <w:tab/>
      </w:r>
      <w:r w:rsidRPr="00354E56">
        <w:rPr>
          <w:i/>
          <w:iCs/>
        </w:rPr>
        <w:t xml:space="preserve">Drafting Note: If the Firm wishes to exercise these powers in respect of </w:t>
      </w:r>
      <w:r w:rsidR="00735463">
        <w:rPr>
          <w:i/>
          <w:iCs/>
        </w:rPr>
        <w:t>Segregated</w:t>
      </w:r>
      <w:r w:rsidR="00094A99" w:rsidRPr="00354E56">
        <w:rPr>
          <w:i/>
          <w:iCs/>
        </w:rPr>
        <w:t xml:space="preserve"> Assets</w:t>
      </w:r>
      <w:r w:rsidRPr="00354E56">
        <w:rPr>
          <w:i/>
          <w:iCs/>
        </w:rPr>
        <w:t xml:space="preserve">, it could terminate the Transactions following the voluntary resignation of the Client, with any termination amounts payable by the CCP following such termination falling outside the </w:t>
      </w:r>
      <w:r w:rsidR="00E01EC8">
        <w:rPr>
          <w:i/>
          <w:iCs/>
        </w:rPr>
        <w:t>Segregated</w:t>
      </w:r>
      <w:r w:rsidR="00094A99" w:rsidRPr="00354E56">
        <w:rPr>
          <w:i/>
          <w:iCs/>
        </w:rPr>
        <w:t xml:space="preserve"> Assets</w:t>
      </w:r>
      <w:r w:rsidRPr="00354E56">
        <w:rPr>
          <w:i/>
          <w:iCs/>
        </w:rPr>
        <w:t>, allowing the Firm to exercise the powers described in this clause</w:t>
      </w:r>
      <w:r w:rsidR="00CB2B39">
        <w:rPr>
          <w:i/>
          <w:iCs/>
        </w:rPr>
        <w:t xml:space="preserve"> </w:t>
      </w:r>
      <w:r w:rsidR="00CB2B39">
        <w:rPr>
          <w:i/>
          <w:iCs/>
        </w:rPr>
        <w:fldChar w:fldCharType="begin"/>
      </w:r>
      <w:r w:rsidR="00CB2B39">
        <w:rPr>
          <w:i/>
          <w:iCs/>
        </w:rPr>
        <w:instrText xml:space="preserve"> REF _Ref133406689 \r \h </w:instrText>
      </w:r>
      <w:r w:rsidR="00CB2B39">
        <w:rPr>
          <w:i/>
          <w:iCs/>
        </w:rPr>
      </w:r>
      <w:r w:rsidR="00CB2B39">
        <w:rPr>
          <w:i/>
          <w:iCs/>
        </w:rPr>
        <w:fldChar w:fldCharType="separate"/>
      </w:r>
      <w:r w:rsidR="00CB2B39">
        <w:rPr>
          <w:i/>
          <w:iCs/>
        </w:rPr>
        <w:t>25.2</w:t>
      </w:r>
      <w:r w:rsidR="00CB2B39">
        <w:rPr>
          <w:i/>
          <w:iCs/>
        </w:rPr>
        <w:fldChar w:fldCharType="end"/>
      </w:r>
      <w:r w:rsidR="00F22EAC" w:rsidRPr="00354E56">
        <w:rPr>
          <w:i/>
          <w:iCs/>
        </w:rPr>
        <w:t>.</w:t>
      </w:r>
    </w:p>
  </w:footnote>
  <w:footnote w:id="21">
    <w:p w14:paraId="5994DA28" w14:textId="7EF606FE" w:rsidR="00D379F4" w:rsidRPr="00BE157C" w:rsidRDefault="00D379F4">
      <w:pPr>
        <w:pStyle w:val="FootnoteText"/>
        <w:rPr>
          <w:b/>
          <w:bCs/>
        </w:rPr>
      </w:pPr>
      <w:r w:rsidRPr="00BE157C">
        <w:rPr>
          <w:rStyle w:val="FootnoteReference"/>
          <w:b/>
          <w:bCs/>
        </w:rPr>
        <w:footnoteRef/>
      </w:r>
      <w:r w:rsidRPr="00BE157C">
        <w:rPr>
          <w:b/>
          <w:bCs/>
        </w:rPr>
        <w:tab/>
      </w:r>
      <w:r w:rsidRPr="00BE157C">
        <w:rPr>
          <w:i/>
          <w:iCs/>
        </w:rPr>
        <w:t>Drafting Note: To refine this list of transactions dependent on those contemplated</w:t>
      </w:r>
      <w:r w:rsidR="00AB1AE6" w:rsidRPr="00BE157C">
        <w:rPr>
          <w:i/>
          <w:iCs/>
        </w:rPr>
        <w:t>.</w:t>
      </w:r>
    </w:p>
  </w:footnote>
  <w:footnote w:id="22">
    <w:p w14:paraId="50FFB931" w14:textId="48EDA557" w:rsidR="00F96C88" w:rsidRPr="00EA3133" w:rsidRDefault="00F96C88">
      <w:pPr>
        <w:pStyle w:val="FootnoteText"/>
      </w:pPr>
      <w:r w:rsidRPr="00EA3133">
        <w:rPr>
          <w:rStyle w:val="FootnoteReference"/>
        </w:rPr>
        <w:footnoteRef/>
      </w:r>
      <w:r w:rsidRPr="00EA3133">
        <w:tab/>
      </w:r>
      <w:r w:rsidR="009263DD" w:rsidRPr="00EA3133">
        <w:rPr>
          <w:i/>
          <w:iCs/>
        </w:rPr>
        <w:t xml:space="preserve">Drafting Note: </w:t>
      </w:r>
      <w:r w:rsidR="004A5BF1" w:rsidRPr="00EA3133">
        <w:rPr>
          <w:i/>
          <w:iCs/>
        </w:rPr>
        <w:t xml:space="preserve">If </w:t>
      </w:r>
      <w:r w:rsidR="001B15F6" w:rsidRPr="00EA3133">
        <w:rPr>
          <w:i/>
          <w:iCs/>
        </w:rPr>
        <w:t xml:space="preserve">the Client is happy to </w:t>
      </w:r>
      <w:r w:rsidR="00F47501" w:rsidRPr="00EA3133">
        <w:rPr>
          <w:i/>
          <w:iCs/>
        </w:rPr>
        <w:t>receive</w:t>
      </w:r>
      <w:r w:rsidR="001B15F6" w:rsidRPr="00EA3133">
        <w:rPr>
          <w:i/>
          <w:iCs/>
        </w:rPr>
        <w:t xml:space="preserve"> </w:t>
      </w:r>
      <w:r w:rsidR="004A5BF1" w:rsidRPr="00EA3133">
        <w:rPr>
          <w:i/>
          <w:iCs/>
        </w:rPr>
        <w:t>alternative margin in accordance with clause</w:t>
      </w:r>
      <w:r w:rsidR="00CB2B39">
        <w:rPr>
          <w:i/>
          <w:iCs/>
        </w:rPr>
        <w:t xml:space="preserve"> </w:t>
      </w:r>
      <w:r w:rsidR="00CB2B39">
        <w:rPr>
          <w:i/>
          <w:iCs/>
        </w:rPr>
        <w:fldChar w:fldCharType="begin"/>
      </w:r>
      <w:r w:rsidR="00CB2B39">
        <w:rPr>
          <w:i/>
          <w:iCs/>
        </w:rPr>
        <w:instrText xml:space="preserve"> REF _Ref152007719 \r \h </w:instrText>
      </w:r>
      <w:r w:rsidR="00CB2B39">
        <w:rPr>
          <w:i/>
          <w:iCs/>
        </w:rPr>
      </w:r>
      <w:r w:rsidR="00CB2B39">
        <w:rPr>
          <w:i/>
          <w:iCs/>
        </w:rPr>
        <w:fldChar w:fldCharType="separate"/>
      </w:r>
      <w:r w:rsidR="00CB2B39">
        <w:rPr>
          <w:i/>
          <w:iCs/>
        </w:rPr>
        <w:t>7.5.1</w:t>
      </w:r>
      <w:r w:rsidR="00CB2B39">
        <w:rPr>
          <w:i/>
          <w:iCs/>
        </w:rPr>
        <w:fldChar w:fldCharType="end"/>
      </w:r>
      <w:r w:rsidR="00F47501" w:rsidRPr="00EA3133">
        <w:rPr>
          <w:i/>
          <w:iCs/>
        </w:rPr>
        <w:t>,</w:t>
      </w:r>
      <w:r w:rsidR="004A5BF1" w:rsidRPr="00EA3133">
        <w:rPr>
          <w:i/>
          <w:iCs/>
        </w:rPr>
        <w:t xml:space="preserve"> “Alternative Margin” should be specified as “Applicable”</w:t>
      </w:r>
      <w:r w:rsidR="00F47501" w:rsidRPr="00EA3133">
        <w:rPr>
          <w:i/>
          <w:iCs/>
        </w:rPr>
        <w:t xml:space="preserve">. If the Client only wants to receive Equivalent </w:t>
      </w:r>
      <w:r w:rsidR="00746B1C" w:rsidRPr="00EA3133">
        <w:rPr>
          <w:i/>
          <w:iCs/>
        </w:rPr>
        <w:t xml:space="preserve">Title Transfer Assets </w:t>
      </w:r>
      <w:r w:rsidR="00F47501" w:rsidRPr="00EA3133">
        <w:rPr>
          <w:i/>
          <w:iCs/>
        </w:rPr>
        <w:t>in accordance with clause</w:t>
      </w:r>
      <w:r w:rsidR="00E80138">
        <w:rPr>
          <w:i/>
          <w:iCs/>
        </w:rPr>
        <w:t xml:space="preserve"> </w:t>
      </w:r>
      <w:r w:rsidR="00E80138">
        <w:rPr>
          <w:i/>
          <w:iCs/>
        </w:rPr>
        <w:fldChar w:fldCharType="begin"/>
      </w:r>
      <w:r w:rsidR="00E80138">
        <w:rPr>
          <w:i/>
          <w:iCs/>
        </w:rPr>
        <w:instrText xml:space="preserve"> REF _Ref152007700 \r \h </w:instrText>
      </w:r>
      <w:r w:rsidR="00E80138">
        <w:rPr>
          <w:i/>
          <w:iCs/>
        </w:rPr>
      </w:r>
      <w:r w:rsidR="00E80138">
        <w:rPr>
          <w:i/>
          <w:iCs/>
        </w:rPr>
        <w:fldChar w:fldCharType="separate"/>
      </w:r>
      <w:r w:rsidR="00E80138">
        <w:rPr>
          <w:i/>
          <w:iCs/>
        </w:rPr>
        <w:t>7.5.2</w:t>
      </w:r>
      <w:r w:rsidR="00E80138">
        <w:rPr>
          <w:i/>
          <w:iCs/>
        </w:rPr>
        <w:fldChar w:fldCharType="end"/>
      </w:r>
      <w:r w:rsidR="00F47501" w:rsidRPr="00EA3133">
        <w:rPr>
          <w:i/>
          <w:iCs/>
        </w:rPr>
        <w:t>, “Alternative Margin” should be specified as “Not Applicable”.</w:t>
      </w:r>
    </w:p>
  </w:footnote>
  <w:footnote w:id="23">
    <w:p w14:paraId="4BCCAC48" w14:textId="77777777" w:rsidR="00D623FE" w:rsidRPr="00651617" w:rsidRDefault="00D623FE" w:rsidP="00D623FE">
      <w:pPr>
        <w:pStyle w:val="FootnoteText"/>
      </w:pPr>
      <w:r w:rsidRPr="00651617">
        <w:rPr>
          <w:rStyle w:val="FootnoteReference"/>
        </w:rPr>
        <w:footnoteRef/>
      </w:r>
      <w:r w:rsidRPr="00651617">
        <w:tab/>
      </w:r>
      <w:r w:rsidRPr="00651617">
        <w:rPr>
          <w:i/>
          <w:iCs/>
        </w:rPr>
        <w:t>Drafting Note: This provision has been included to ensure that trust law does not operate such that Client’s entitlements to transactions recorded to an Omnibus</w:t>
      </w:r>
      <w:r>
        <w:rPr>
          <w:i/>
          <w:iCs/>
        </w:rPr>
        <w:t xml:space="preserve"> Segregation</w:t>
      </w:r>
      <w:r w:rsidRPr="00651617">
        <w:rPr>
          <w:i/>
          <w:iCs/>
        </w:rPr>
        <w:t xml:space="preserve"> Account are determined in accordance with the chronological order in which such transactions were credited to that Omnibus </w:t>
      </w:r>
      <w:r>
        <w:rPr>
          <w:i/>
          <w:iCs/>
        </w:rPr>
        <w:t>Segregation</w:t>
      </w:r>
      <w:r w:rsidRPr="00651617">
        <w:rPr>
          <w:i/>
          <w:iCs/>
        </w:rPr>
        <w:t xml:space="preserve"> Account.</w:t>
      </w:r>
      <w:r w:rsidRPr="00651617">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55A51F" w14:textId="77777777" w:rsidR="000771C4" w:rsidRDefault="000771C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9A77BD" w14:textId="2AF0731D" w:rsidR="003E0171" w:rsidRDefault="003E0171" w:rsidP="003A2737">
    <w:pPr>
      <w:pStyle w:val="Header"/>
    </w:pPr>
  </w:p>
  <w:p w14:paraId="39E2D123" w14:textId="77777777" w:rsidR="004A2375" w:rsidRDefault="004A2375" w:rsidP="003A2737">
    <w:pPr>
      <w:pStyle w:val="Header"/>
    </w:pPr>
  </w:p>
  <w:p w14:paraId="06272D2C" w14:textId="1ECA89B1" w:rsidR="003E0171" w:rsidRDefault="003E0171" w:rsidP="003E0171">
    <w:pPr>
      <w:pStyle w:val="Body1"/>
      <w:ind w:left="0"/>
      <w:jc w:val="left"/>
      <w:rPr>
        <w:b/>
        <w:bCs/>
      </w:rPr>
    </w:pPr>
    <w:r w:rsidRPr="003E0171">
      <w:rPr>
        <w:b/>
        <w:bCs/>
      </w:rPr>
      <w:t xml:space="preserve">FOR USE </w:t>
    </w:r>
    <w:r w:rsidR="00291F77">
      <w:rPr>
        <w:b/>
        <w:bCs/>
      </w:rPr>
      <w:t>BY FIRMS INCORPORATED IN ENGLAND AND WALES</w:t>
    </w:r>
    <w:r w:rsidR="007F1091">
      <w:rPr>
        <w:b/>
        <w:bCs/>
      </w:rPr>
      <w:t xml:space="preserve"> </w:t>
    </w:r>
  </w:p>
  <w:p w14:paraId="5B1120DE" w14:textId="0C3AB4C3" w:rsidR="007F1091" w:rsidRPr="003E0171" w:rsidRDefault="007F1091" w:rsidP="003E0171">
    <w:pPr>
      <w:pStyle w:val="Body1"/>
      <w:ind w:left="0"/>
      <w:jc w:val="left"/>
      <w:rPr>
        <w:b/>
        <w:bCs/>
      </w:rPr>
    </w:pPr>
    <w:r>
      <w:rPr>
        <w:b/>
        <w:bCs/>
      </w:rPr>
      <w:t>NO ETD PROVISIONS AND ‘NICE TO HAVE’ AMENDMENTS VERSION</w:t>
    </w:r>
  </w:p>
  <w:p w14:paraId="657CF746" w14:textId="77777777" w:rsidR="003E0171" w:rsidRPr="003A2737" w:rsidRDefault="003E0171" w:rsidP="003A273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343170" w14:textId="77777777" w:rsidR="000771C4" w:rsidRDefault="000771C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1BC8135A"/>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FACCF21E"/>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F1F019D2"/>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63C26E2C"/>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1466D692"/>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57FAA860"/>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1B669270"/>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FAEE1F68"/>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60DC341C"/>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2D8A813A"/>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3B903C3"/>
    <w:multiLevelType w:val="multilevel"/>
    <w:tmpl w:val="BB16DBE8"/>
    <w:numStyleLink w:val="LLRecitals"/>
  </w:abstractNum>
  <w:abstractNum w:abstractNumId="11" w15:restartNumberingAfterBreak="0">
    <w:nsid w:val="03BC7754"/>
    <w:multiLevelType w:val="multilevel"/>
    <w:tmpl w:val="C054F7D8"/>
    <w:styleLink w:val="LLTablebullet"/>
    <w:lvl w:ilvl="0">
      <w:start w:val="1"/>
      <w:numFmt w:val="bullet"/>
      <w:pStyle w:val="Tablebullet"/>
      <w:lvlText w:val=""/>
      <w:lvlJc w:val="left"/>
      <w:pPr>
        <w:tabs>
          <w:tab w:val="num" w:pos="680"/>
        </w:tabs>
        <w:ind w:left="680" w:hanging="680"/>
      </w:pPr>
      <w:rPr>
        <w:rFonts w:ascii="Symbol" w:hAnsi="Symbol" w:cs="Times New Roman" w:hint="default"/>
        <w:color w:val="auto"/>
      </w:rPr>
    </w:lvl>
    <w:lvl w:ilvl="1">
      <w:start w:val="1"/>
      <w:numFmt w:val="none"/>
      <w:lvlText w:val=""/>
      <w:lvlJc w:val="left"/>
      <w:pPr>
        <w:ind w:left="680" w:hanging="680"/>
      </w:pPr>
      <w:rPr>
        <w:rFonts w:hint="default"/>
      </w:rPr>
    </w:lvl>
    <w:lvl w:ilvl="2">
      <w:start w:val="1"/>
      <w:numFmt w:val="none"/>
      <w:lvlText w:val=""/>
      <w:lvlJc w:val="left"/>
      <w:pPr>
        <w:ind w:left="680" w:hanging="680"/>
      </w:pPr>
      <w:rPr>
        <w:rFonts w:hint="default"/>
      </w:rPr>
    </w:lvl>
    <w:lvl w:ilvl="3">
      <w:start w:val="1"/>
      <w:numFmt w:val="none"/>
      <w:lvlText w:val=""/>
      <w:lvlJc w:val="left"/>
      <w:pPr>
        <w:ind w:left="680" w:hanging="680"/>
      </w:pPr>
      <w:rPr>
        <w:rFonts w:hint="default"/>
      </w:rPr>
    </w:lvl>
    <w:lvl w:ilvl="4">
      <w:start w:val="1"/>
      <w:numFmt w:val="none"/>
      <w:lvlText w:val=""/>
      <w:lvlJc w:val="left"/>
      <w:pPr>
        <w:ind w:left="680" w:hanging="680"/>
      </w:pPr>
      <w:rPr>
        <w:rFonts w:hint="default"/>
      </w:rPr>
    </w:lvl>
    <w:lvl w:ilvl="5">
      <w:start w:val="1"/>
      <w:numFmt w:val="none"/>
      <w:lvlText w:val=""/>
      <w:lvlJc w:val="left"/>
      <w:pPr>
        <w:ind w:left="680" w:hanging="680"/>
      </w:pPr>
      <w:rPr>
        <w:rFonts w:hint="default"/>
      </w:rPr>
    </w:lvl>
    <w:lvl w:ilvl="6">
      <w:start w:val="1"/>
      <w:numFmt w:val="none"/>
      <w:lvlText w:val=""/>
      <w:lvlJc w:val="left"/>
      <w:pPr>
        <w:ind w:left="680" w:hanging="680"/>
      </w:pPr>
      <w:rPr>
        <w:rFonts w:hint="default"/>
      </w:rPr>
    </w:lvl>
    <w:lvl w:ilvl="7">
      <w:start w:val="1"/>
      <w:numFmt w:val="none"/>
      <w:lvlText w:val=""/>
      <w:lvlJc w:val="left"/>
      <w:pPr>
        <w:ind w:left="680" w:hanging="680"/>
      </w:pPr>
      <w:rPr>
        <w:rFonts w:hint="default"/>
      </w:rPr>
    </w:lvl>
    <w:lvl w:ilvl="8">
      <w:start w:val="1"/>
      <w:numFmt w:val="none"/>
      <w:lvlText w:val=""/>
      <w:lvlJc w:val="left"/>
      <w:pPr>
        <w:ind w:left="680" w:hanging="680"/>
      </w:pPr>
      <w:rPr>
        <w:rFonts w:hint="default"/>
      </w:rPr>
    </w:lvl>
  </w:abstractNum>
  <w:abstractNum w:abstractNumId="12" w15:restartNumberingAfterBreak="0">
    <w:nsid w:val="04585653"/>
    <w:multiLevelType w:val="multilevel"/>
    <w:tmpl w:val="70248C04"/>
    <w:numStyleLink w:val="LLSchedule"/>
  </w:abstractNum>
  <w:abstractNum w:abstractNumId="13" w15:restartNumberingAfterBreak="0">
    <w:nsid w:val="059E2F2A"/>
    <w:multiLevelType w:val="multilevel"/>
    <w:tmpl w:val="DF1CD8FE"/>
    <w:styleLink w:val="LLLevel"/>
    <w:lvl w:ilvl="0">
      <w:start w:val="1"/>
      <w:numFmt w:val="decimal"/>
      <w:pStyle w:val="Level1"/>
      <w:lvlText w:val="%1"/>
      <w:lvlJc w:val="left"/>
      <w:pPr>
        <w:tabs>
          <w:tab w:val="num" w:pos="680"/>
        </w:tabs>
        <w:ind w:left="680" w:hanging="680"/>
      </w:pPr>
      <w:rPr>
        <w:rFonts w:hAnsi="Arial" w:cs="Times New Roman" w:hint="default"/>
        <w:b/>
        <w:i w:val="0"/>
        <w:sz w:val="22"/>
      </w:rPr>
    </w:lvl>
    <w:lvl w:ilvl="1">
      <w:start w:val="1"/>
      <w:numFmt w:val="decimal"/>
      <w:pStyle w:val="Level2"/>
      <w:lvlText w:val="%1.%2"/>
      <w:lvlJc w:val="left"/>
      <w:pPr>
        <w:tabs>
          <w:tab w:val="num" w:pos="680"/>
        </w:tabs>
        <w:ind w:left="680" w:hanging="680"/>
      </w:pPr>
      <w:rPr>
        <w:rFonts w:hint="default"/>
        <w:b/>
        <w:i w:val="0"/>
        <w:sz w:val="21"/>
      </w:rPr>
    </w:lvl>
    <w:lvl w:ilvl="2">
      <w:start w:val="1"/>
      <w:numFmt w:val="decimal"/>
      <w:pStyle w:val="Level3"/>
      <w:lvlText w:val="%1.%2.%3"/>
      <w:lvlJc w:val="left"/>
      <w:pPr>
        <w:tabs>
          <w:tab w:val="num" w:pos="1361"/>
        </w:tabs>
        <w:ind w:left="1361" w:hanging="681"/>
      </w:pPr>
      <w:rPr>
        <w:rFonts w:hint="default"/>
        <w:b/>
        <w:i w:val="0"/>
        <w:sz w:val="17"/>
      </w:rPr>
    </w:lvl>
    <w:lvl w:ilvl="3">
      <w:start w:val="1"/>
      <w:numFmt w:val="lowerRoman"/>
      <w:pStyle w:val="Level4"/>
      <w:lvlText w:val="(%4)"/>
      <w:lvlJc w:val="left"/>
      <w:pPr>
        <w:tabs>
          <w:tab w:val="num" w:pos="2041"/>
        </w:tabs>
        <w:ind w:left="2041" w:hanging="680"/>
      </w:pPr>
      <w:rPr>
        <w:rFonts w:hint="default"/>
        <w:sz w:val="20"/>
      </w:rPr>
    </w:lvl>
    <w:lvl w:ilvl="4">
      <w:start w:val="1"/>
      <w:numFmt w:val="lowerLetter"/>
      <w:pStyle w:val="Level5"/>
      <w:lvlText w:val="(%5)"/>
      <w:lvlJc w:val="left"/>
      <w:pPr>
        <w:tabs>
          <w:tab w:val="num" w:pos="2722"/>
        </w:tabs>
        <w:ind w:left="2722" w:hanging="681"/>
      </w:pPr>
      <w:rPr>
        <w:rFonts w:hint="default"/>
        <w:sz w:val="20"/>
      </w:rPr>
    </w:lvl>
    <w:lvl w:ilvl="5">
      <w:start w:val="1"/>
      <w:numFmt w:val="upperRoman"/>
      <w:pStyle w:val="Level6"/>
      <w:lvlText w:val="(%6)"/>
      <w:lvlJc w:val="left"/>
      <w:pPr>
        <w:tabs>
          <w:tab w:val="num" w:pos="3402"/>
        </w:tabs>
        <w:ind w:left="3402" w:hanging="680"/>
      </w:pPr>
      <w:rPr>
        <w:rFonts w:hint="default"/>
        <w:sz w:val="20"/>
      </w:rPr>
    </w:lvl>
    <w:lvl w:ilvl="6">
      <w:start w:val="1"/>
      <w:numFmt w:val="none"/>
      <w:pStyle w:val="Level7"/>
      <w:lvlText w:val=""/>
      <w:lvlJc w:val="left"/>
      <w:pPr>
        <w:tabs>
          <w:tab w:val="num" w:pos="3402"/>
        </w:tabs>
        <w:ind w:left="3402" w:hanging="680"/>
      </w:pPr>
      <w:rPr>
        <w:rFonts w:hint="default"/>
      </w:rPr>
    </w:lvl>
    <w:lvl w:ilvl="7">
      <w:start w:val="1"/>
      <w:numFmt w:val="none"/>
      <w:pStyle w:val="Level8"/>
      <w:lvlText w:val=""/>
      <w:lvlJc w:val="left"/>
      <w:pPr>
        <w:tabs>
          <w:tab w:val="num" w:pos="3402"/>
        </w:tabs>
        <w:ind w:left="3402" w:hanging="680"/>
      </w:pPr>
      <w:rPr>
        <w:rFonts w:hint="default"/>
      </w:rPr>
    </w:lvl>
    <w:lvl w:ilvl="8">
      <w:start w:val="1"/>
      <w:numFmt w:val="none"/>
      <w:pStyle w:val="Level9"/>
      <w:lvlText w:val=""/>
      <w:lvlJc w:val="left"/>
      <w:pPr>
        <w:tabs>
          <w:tab w:val="num" w:pos="3402"/>
        </w:tabs>
        <w:ind w:left="3402" w:hanging="680"/>
      </w:pPr>
      <w:rPr>
        <w:rFonts w:hint="default"/>
      </w:rPr>
    </w:lvl>
  </w:abstractNum>
  <w:abstractNum w:abstractNumId="14" w15:restartNumberingAfterBreak="0">
    <w:nsid w:val="08D03504"/>
    <w:multiLevelType w:val="multilevel"/>
    <w:tmpl w:val="45E60E26"/>
    <w:numStyleLink w:val="LLListNumbers"/>
  </w:abstractNum>
  <w:abstractNum w:abstractNumId="15" w15:restartNumberingAfterBreak="0">
    <w:nsid w:val="0B2668E4"/>
    <w:multiLevelType w:val="multilevel"/>
    <w:tmpl w:val="DF1CD8FE"/>
    <w:numStyleLink w:val="LLLevel"/>
  </w:abstractNum>
  <w:abstractNum w:abstractNumId="16" w15:restartNumberingAfterBreak="0">
    <w:nsid w:val="0BDB1481"/>
    <w:multiLevelType w:val="multilevel"/>
    <w:tmpl w:val="75BC11A0"/>
    <w:styleLink w:val="LLUCAlpha"/>
    <w:lvl w:ilvl="0">
      <w:start w:val="1"/>
      <w:numFmt w:val="upperLetter"/>
      <w:pStyle w:val="UCAlpha1"/>
      <w:lvlText w:val="(%1)"/>
      <w:lvlJc w:val="left"/>
      <w:pPr>
        <w:tabs>
          <w:tab w:val="num" w:pos="680"/>
        </w:tabs>
        <w:ind w:left="680" w:hanging="680"/>
      </w:pPr>
      <w:rPr>
        <w:rFonts w:hint="default"/>
        <w:b w:val="0"/>
        <w:i w:val="0"/>
      </w:rPr>
    </w:lvl>
    <w:lvl w:ilvl="1">
      <w:start w:val="1"/>
      <w:numFmt w:val="upperLetter"/>
      <w:pStyle w:val="UCAlpha2"/>
      <w:lvlText w:val="(%2)"/>
      <w:lvlJc w:val="left"/>
      <w:pPr>
        <w:tabs>
          <w:tab w:val="num" w:pos="1360"/>
        </w:tabs>
        <w:ind w:left="1360" w:hanging="680"/>
      </w:pPr>
      <w:rPr>
        <w:rFonts w:hint="default"/>
        <w:b w:val="0"/>
        <w:i w:val="0"/>
      </w:rPr>
    </w:lvl>
    <w:lvl w:ilvl="2">
      <w:start w:val="1"/>
      <w:numFmt w:val="upperLetter"/>
      <w:pStyle w:val="UCAlpha3"/>
      <w:lvlText w:val="(%3)"/>
      <w:lvlJc w:val="left"/>
      <w:pPr>
        <w:tabs>
          <w:tab w:val="num" w:pos="2040"/>
        </w:tabs>
        <w:ind w:left="2040" w:hanging="680"/>
      </w:pPr>
      <w:rPr>
        <w:rFonts w:hint="default"/>
        <w:b w:val="0"/>
        <w:i w:val="0"/>
      </w:rPr>
    </w:lvl>
    <w:lvl w:ilvl="3">
      <w:start w:val="1"/>
      <w:numFmt w:val="upperLetter"/>
      <w:pStyle w:val="UCAlpha4"/>
      <w:lvlText w:val="(%4)"/>
      <w:lvlJc w:val="left"/>
      <w:pPr>
        <w:tabs>
          <w:tab w:val="num" w:pos="2722"/>
        </w:tabs>
        <w:ind w:left="2722" w:hanging="682"/>
      </w:pPr>
      <w:rPr>
        <w:rFonts w:hint="default"/>
        <w:b w:val="0"/>
        <w:i w:val="0"/>
      </w:rPr>
    </w:lvl>
    <w:lvl w:ilvl="4">
      <w:start w:val="1"/>
      <w:numFmt w:val="upperLetter"/>
      <w:pStyle w:val="UCAlpha5"/>
      <w:lvlText w:val="(%5)"/>
      <w:lvlJc w:val="left"/>
      <w:pPr>
        <w:tabs>
          <w:tab w:val="num" w:pos="3402"/>
        </w:tabs>
        <w:ind w:left="3402" w:hanging="680"/>
      </w:pPr>
      <w:rPr>
        <w:rFonts w:hint="default"/>
        <w:b w:val="0"/>
        <w:i w:val="0"/>
      </w:rPr>
    </w:lvl>
    <w:lvl w:ilvl="5">
      <w:start w:val="1"/>
      <w:numFmt w:val="upperLetter"/>
      <w:pStyle w:val="UCAlpha6"/>
      <w:lvlText w:val="(%6)"/>
      <w:lvlJc w:val="left"/>
      <w:pPr>
        <w:tabs>
          <w:tab w:val="num" w:pos="4082"/>
        </w:tabs>
        <w:ind w:left="4082" w:hanging="680"/>
      </w:pPr>
      <w:rPr>
        <w:rFonts w:hint="default"/>
        <w:b w:val="0"/>
        <w:i w:val="0"/>
      </w:rPr>
    </w:lvl>
    <w:lvl w:ilvl="6">
      <w:start w:val="1"/>
      <w:numFmt w:val="none"/>
      <w:lvlText w:val=""/>
      <w:lvlJc w:val="left"/>
      <w:pPr>
        <w:ind w:left="4082" w:hanging="680"/>
      </w:pPr>
      <w:rPr>
        <w:rFonts w:hint="default"/>
      </w:rPr>
    </w:lvl>
    <w:lvl w:ilvl="7">
      <w:start w:val="1"/>
      <w:numFmt w:val="none"/>
      <w:lvlText w:val=""/>
      <w:lvlJc w:val="left"/>
      <w:pPr>
        <w:ind w:left="4082" w:hanging="680"/>
      </w:pPr>
      <w:rPr>
        <w:rFonts w:hint="default"/>
      </w:rPr>
    </w:lvl>
    <w:lvl w:ilvl="8">
      <w:start w:val="1"/>
      <w:numFmt w:val="none"/>
      <w:lvlText w:val=""/>
      <w:lvlJc w:val="left"/>
      <w:pPr>
        <w:ind w:left="4082" w:hanging="680"/>
      </w:pPr>
      <w:rPr>
        <w:rFonts w:hint="default"/>
      </w:rPr>
    </w:lvl>
  </w:abstractNum>
  <w:abstractNum w:abstractNumId="17" w15:restartNumberingAfterBreak="0">
    <w:nsid w:val="0C2776A1"/>
    <w:multiLevelType w:val="multilevel"/>
    <w:tmpl w:val="6B8A2852"/>
    <w:numStyleLink w:val="LLalpha"/>
  </w:abstractNum>
  <w:abstractNum w:abstractNumId="18" w15:restartNumberingAfterBreak="0">
    <w:nsid w:val="0CBB1AC4"/>
    <w:multiLevelType w:val="multilevel"/>
    <w:tmpl w:val="C3541724"/>
    <w:numStyleLink w:val="LLTC"/>
  </w:abstractNum>
  <w:abstractNum w:abstractNumId="19" w15:restartNumberingAfterBreak="0">
    <w:nsid w:val="0E260C0E"/>
    <w:multiLevelType w:val="multilevel"/>
    <w:tmpl w:val="C3541724"/>
    <w:styleLink w:val="LLTC"/>
    <w:lvl w:ilvl="0">
      <w:start w:val="1"/>
      <w:numFmt w:val="decimal"/>
      <w:pStyle w:val="TCLevel1"/>
      <w:lvlText w:val="%1"/>
      <w:lvlJc w:val="left"/>
      <w:pPr>
        <w:tabs>
          <w:tab w:val="num" w:pos="680"/>
        </w:tabs>
        <w:ind w:left="680" w:hanging="680"/>
      </w:pPr>
      <w:rPr>
        <w:rFonts w:hAnsi="Arial" w:cs="Times New Roman" w:hint="default"/>
        <w:b/>
        <w:i w:val="0"/>
      </w:rPr>
    </w:lvl>
    <w:lvl w:ilvl="1">
      <w:start w:val="1"/>
      <w:numFmt w:val="lowerLetter"/>
      <w:pStyle w:val="TCLevel2"/>
      <w:lvlText w:val="(%2)"/>
      <w:lvlJc w:val="left"/>
      <w:pPr>
        <w:tabs>
          <w:tab w:val="num" w:pos="1360"/>
        </w:tabs>
        <w:ind w:left="1360" w:hanging="680"/>
      </w:pPr>
      <w:rPr>
        <w:rFonts w:hint="default"/>
        <w:b/>
        <w:i w:val="0"/>
      </w:rPr>
    </w:lvl>
    <w:lvl w:ilvl="2">
      <w:start w:val="1"/>
      <w:numFmt w:val="lowerRoman"/>
      <w:pStyle w:val="TCLevel3"/>
      <w:lvlText w:val="(%3)"/>
      <w:lvlJc w:val="left"/>
      <w:pPr>
        <w:tabs>
          <w:tab w:val="num" w:pos="2040"/>
        </w:tabs>
        <w:ind w:left="2040" w:hanging="680"/>
      </w:pPr>
      <w:rPr>
        <w:rFonts w:hint="default"/>
      </w:rPr>
    </w:lvl>
    <w:lvl w:ilvl="3">
      <w:start w:val="1"/>
      <w:numFmt w:val="upperLetter"/>
      <w:pStyle w:val="TCLevel4"/>
      <w:lvlText w:val="(%4)"/>
      <w:lvlJc w:val="left"/>
      <w:pPr>
        <w:tabs>
          <w:tab w:val="num" w:pos="2720"/>
        </w:tabs>
        <w:ind w:left="2720" w:hanging="680"/>
      </w:pPr>
      <w:rPr>
        <w:rFonts w:hint="default"/>
        <w:b w:val="0"/>
        <w:i w:val="0"/>
      </w:rPr>
    </w:lvl>
    <w:lvl w:ilvl="4">
      <w:start w:val="1"/>
      <w:numFmt w:val="none"/>
      <w:lvlRestart w:val="0"/>
      <w:lvlText w:val=""/>
      <w:lvlJc w:val="left"/>
      <w:pPr>
        <w:ind w:left="2722" w:hanging="681"/>
      </w:pPr>
      <w:rPr>
        <w:rFonts w:hint="default"/>
      </w:rPr>
    </w:lvl>
    <w:lvl w:ilvl="5">
      <w:start w:val="1"/>
      <w:numFmt w:val="none"/>
      <w:lvlRestart w:val="0"/>
      <w:lvlText w:val=""/>
      <w:lvlJc w:val="left"/>
      <w:pPr>
        <w:ind w:left="2722" w:hanging="681"/>
      </w:pPr>
      <w:rPr>
        <w:rFonts w:hint="default"/>
      </w:rPr>
    </w:lvl>
    <w:lvl w:ilvl="6">
      <w:start w:val="1"/>
      <w:numFmt w:val="none"/>
      <w:lvlRestart w:val="0"/>
      <w:lvlText w:val=""/>
      <w:lvlJc w:val="left"/>
      <w:pPr>
        <w:ind w:left="2722" w:hanging="681"/>
      </w:pPr>
      <w:rPr>
        <w:rFonts w:hint="default"/>
      </w:rPr>
    </w:lvl>
    <w:lvl w:ilvl="7">
      <w:start w:val="1"/>
      <w:numFmt w:val="none"/>
      <w:lvlRestart w:val="0"/>
      <w:lvlText w:val=""/>
      <w:lvlJc w:val="left"/>
      <w:pPr>
        <w:ind w:left="2722" w:hanging="681"/>
      </w:pPr>
      <w:rPr>
        <w:rFonts w:hint="default"/>
      </w:rPr>
    </w:lvl>
    <w:lvl w:ilvl="8">
      <w:start w:val="1"/>
      <w:numFmt w:val="none"/>
      <w:lvlRestart w:val="0"/>
      <w:lvlText w:val=""/>
      <w:lvlJc w:val="left"/>
      <w:pPr>
        <w:ind w:left="2722" w:hanging="681"/>
      </w:pPr>
      <w:rPr>
        <w:rFonts w:hint="default"/>
      </w:rPr>
    </w:lvl>
  </w:abstractNum>
  <w:abstractNum w:abstractNumId="20" w15:restartNumberingAfterBreak="0">
    <w:nsid w:val="10095054"/>
    <w:multiLevelType w:val="multilevel"/>
    <w:tmpl w:val="9F565188"/>
    <w:numStyleLink w:val="LLTable"/>
  </w:abstractNum>
  <w:abstractNum w:abstractNumId="21" w15:restartNumberingAfterBreak="0">
    <w:nsid w:val="108730AE"/>
    <w:multiLevelType w:val="multilevel"/>
    <w:tmpl w:val="579ECC4A"/>
    <w:styleLink w:val="LLroman"/>
    <w:lvl w:ilvl="0">
      <w:start w:val="1"/>
      <w:numFmt w:val="lowerRoman"/>
      <w:pStyle w:val="roman1"/>
      <w:lvlText w:val="(%1)"/>
      <w:lvlJc w:val="left"/>
      <w:pPr>
        <w:tabs>
          <w:tab w:val="num" w:pos="680"/>
        </w:tabs>
        <w:ind w:left="680" w:hanging="680"/>
      </w:pPr>
      <w:rPr>
        <w:rFonts w:hAnsi="Arial" w:cs="Times New Roman" w:hint="default"/>
      </w:rPr>
    </w:lvl>
    <w:lvl w:ilvl="1">
      <w:start w:val="1"/>
      <w:numFmt w:val="lowerRoman"/>
      <w:pStyle w:val="roman2"/>
      <w:lvlText w:val="(%2)"/>
      <w:lvlJc w:val="left"/>
      <w:pPr>
        <w:tabs>
          <w:tab w:val="num" w:pos="1360"/>
        </w:tabs>
        <w:ind w:left="1360" w:hanging="680"/>
      </w:pPr>
      <w:rPr>
        <w:rFonts w:hint="default"/>
      </w:rPr>
    </w:lvl>
    <w:lvl w:ilvl="2">
      <w:start w:val="1"/>
      <w:numFmt w:val="lowerRoman"/>
      <w:pStyle w:val="roman3"/>
      <w:lvlText w:val="(%3)"/>
      <w:lvlJc w:val="left"/>
      <w:pPr>
        <w:tabs>
          <w:tab w:val="num" w:pos="2040"/>
        </w:tabs>
        <w:ind w:left="2040" w:hanging="680"/>
      </w:pPr>
      <w:rPr>
        <w:rFonts w:hint="default"/>
      </w:rPr>
    </w:lvl>
    <w:lvl w:ilvl="3">
      <w:start w:val="1"/>
      <w:numFmt w:val="lowerRoman"/>
      <w:pStyle w:val="roman4"/>
      <w:lvlText w:val="(%4)"/>
      <w:lvlJc w:val="left"/>
      <w:pPr>
        <w:tabs>
          <w:tab w:val="num" w:pos="2722"/>
        </w:tabs>
        <w:ind w:left="2722" w:hanging="682"/>
      </w:pPr>
      <w:rPr>
        <w:rFonts w:hint="default"/>
      </w:rPr>
    </w:lvl>
    <w:lvl w:ilvl="4">
      <w:start w:val="1"/>
      <w:numFmt w:val="lowerRoman"/>
      <w:pStyle w:val="roman5"/>
      <w:lvlText w:val="(%5)"/>
      <w:lvlJc w:val="left"/>
      <w:pPr>
        <w:tabs>
          <w:tab w:val="num" w:pos="3402"/>
        </w:tabs>
        <w:ind w:left="3402" w:hanging="680"/>
      </w:pPr>
      <w:rPr>
        <w:rFonts w:hint="default"/>
      </w:rPr>
    </w:lvl>
    <w:lvl w:ilvl="5">
      <w:start w:val="1"/>
      <w:numFmt w:val="lowerRoman"/>
      <w:pStyle w:val="roman6"/>
      <w:lvlText w:val="(%6)"/>
      <w:lvlJc w:val="left"/>
      <w:pPr>
        <w:tabs>
          <w:tab w:val="num" w:pos="4082"/>
        </w:tabs>
        <w:ind w:left="4082" w:hanging="680"/>
      </w:pPr>
      <w:rPr>
        <w:rFonts w:hint="default"/>
      </w:rPr>
    </w:lvl>
    <w:lvl w:ilvl="6">
      <w:start w:val="1"/>
      <w:numFmt w:val="none"/>
      <w:lvlRestart w:val="0"/>
      <w:lvlText w:val=""/>
      <w:lvlJc w:val="left"/>
      <w:pPr>
        <w:ind w:left="4082" w:hanging="680"/>
      </w:pPr>
      <w:rPr>
        <w:rFonts w:hint="default"/>
      </w:rPr>
    </w:lvl>
    <w:lvl w:ilvl="7">
      <w:start w:val="1"/>
      <w:numFmt w:val="none"/>
      <w:lvlRestart w:val="0"/>
      <w:lvlText w:val=""/>
      <w:lvlJc w:val="left"/>
      <w:pPr>
        <w:ind w:left="4082" w:hanging="680"/>
      </w:pPr>
      <w:rPr>
        <w:rFonts w:hint="default"/>
      </w:rPr>
    </w:lvl>
    <w:lvl w:ilvl="8">
      <w:start w:val="1"/>
      <w:numFmt w:val="none"/>
      <w:lvlRestart w:val="0"/>
      <w:lvlText w:val=""/>
      <w:lvlJc w:val="left"/>
      <w:pPr>
        <w:ind w:left="4082" w:hanging="680"/>
      </w:pPr>
      <w:rPr>
        <w:rFonts w:hint="default"/>
      </w:rPr>
    </w:lvl>
  </w:abstractNum>
  <w:abstractNum w:abstractNumId="22" w15:restartNumberingAfterBreak="0">
    <w:nsid w:val="113711E7"/>
    <w:multiLevelType w:val="multilevel"/>
    <w:tmpl w:val="7D1E5C80"/>
    <w:numStyleLink w:val="LLScheduleHeading"/>
  </w:abstractNum>
  <w:abstractNum w:abstractNumId="23" w15:restartNumberingAfterBreak="0">
    <w:nsid w:val="15D25DCF"/>
    <w:multiLevelType w:val="multilevel"/>
    <w:tmpl w:val="08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4" w15:restartNumberingAfterBreak="0">
    <w:nsid w:val="163A6B58"/>
    <w:multiLevelType w:val="multilevel"/>
    <w:tmpl w:val="09BA6932"/>
    <w:numStyleLink w:val="LLbullet"/>
  </w:abstractNum>
  <w:abstractNum w:abstractNumId="25" w15:restartNumberingAfterBreak="0">
    <w:nsid w:val="178D3195"/>
    <w:multiLevelType w:val="multilevel"/>
    <w:tmpl w:val="052824E8"/>
    <w:styleLink w:val="LLParties"/>
    <w:lvl w:ilvl="0">
      <w:start w:val="1"/>
      <w:numFmt w:val="decimal"/>
      <w:pStyle w:val="Parties"/>
      <w:lvlText w:val="(%1)"/>
      <w:lvlJc w:val="left"/>
      <w:pPr>
        <w:tabs>
          <w:tab w:val="num" w:pos="680"/>
        </w:tabs>
        <w:ind w:left="680" w:hanging="680"/>
      </w:pPr>
      <w:rPr>
        <w:rFonts w:hAnsi="Arial" w:cs="Times New Roman" w:hint="default"/>
        <w:b/>
        <w:i w:val="0"/>
      </w:rPr>
    </w:lvl>
    <w:lvl w:ilvl="1">
      <w:start w:val="1"/>
      <w:numFmt w:val="none"/>
      <w:lvlRestart w:val="0"/>
      <w:lvlText w:val=""/>
      <w:lvlJc w:val="left"/>
      <w:pPr>
        <w:ind w:left="680" w:hanging="680"/>
      </w:pPr>
      <w:rPr>
        <w:rFonts w:hint="default"/>
      </w:rPr>
    </w:lvl>
    <w:lvl w:ilvl="2">
      <w:start w:val="1"/>
      <w:numFmt w:val="none"/>
      <w:lvlRestart w:val="0"/>
      <w:lvlText w:val=""/>
      <w:lvlJc w:val="left"/>
      <w:pPr>
        <w:ind w:left="680" w:hanging="680"/>
      </w:pPr>
      <w:rPr>
        <w:rFonts w:hint="default"/>
      </w:rPr>
    </w:lvl>
    <w:lvl w:ilvl="3">
      <w:start w:val="1"/>
      <w:numFmt w:val="none"/>
      <w:lvlRestart w:val="0"/>
      <w:lvlText w:val=""/>
      <w:lvlJc w:val="left"/>
      <w:pPr>
        <w:ind w:left="680" w:hanging="680"/>
      </w:pPr>
      <w:rPr>
        <w:rFonts w:hint="default"/>
      </w:rPr>
    </w:lvl>
    <w:lvl w:ilvl="4">
      <w:start w:val="1"/>
      <w:numFmt w:val="none"/>
      <w:lvlRestart w:val="0"/>
      <w:lvlText w:val=""/>
      <w:lvlJc w:val="left"/>
      <w:pPr>
        <w:ind w:left="680" w:hanging="680"/>
      </w:pPr>
      <w:rPr>
        <w:rFonts w:hint="default"/>
      </w:rPr>
    </w:lvl>
    <w:lvl w:ilvl="5">
      <w:start w:val="1"/>
      <w:numFmt w:val="none"/>
      <w:lvlRestart w:val="0"/>
      <w:lvlText w:val=""/>
      <w:lvlJc w:val="left"/>
      <w:pPr>
        <w:ind w:left="680" w:hanging="680"/>
      </w:pPr>
      <w:rPr>
        <w:rFonts w:hint="default"/>
      </w:rPr>
    </w:lvl>
    <w:lvl w:ilvl="6">
      <w:start w:val="1"/>
      <w:numFmt w:val="none"/>
      <w:lvlRestart w:val="0"/>
      <w:lvlText w:val=""/>
      <w:lvlJc w:val="left"/>
      <w:pPr>
        <w:ind w:left="680" w:hanging="680"/>
      </w:pPr>
      <w:rPr>
        <w:rFonts w:hint="default"/>
      </w:rPr>
    </w:lvl>
    <w:lvl w:ilvl="7">
      <w:start w:val="1"/>
      <w:numFmt w:val="none"/>
      <w:lvlRestart w:val="0"/>
      <w:lvlText w:val=""/>
      <w:lvlJc w:val="left"/>
      <w:pPr>
        <w:ind w:left="680" w:hanging="680"/>
      </w:pPr>
      <w:rPr>
        <w:rFonts w:hint="default"/>
      </w:rPr>
    </w:lvl>
    <w:lvl w:ilvl="8">
      <w:start w:val="1"/>
      <w:numFmt w:val="none"/>
      <w:lvlText w:val=""/>
      <w:lvlJc w:val="left"/>
      <w:pPr>
        <w:ind w:left="680" w:hanging="680"/>
      </w:pPr>
      <w:rPr>
        <w:rFonts w:hint="default"/>
      </w:rPr>
    </w:lvl>
  </w:abstractNum>
  <w:abstractNum w:abstractNumId="26" w15:restartNumberingAfterBreak="0">
    <w:nsid w:val="17D56EA2"/>
    <w:multiLevelType w:val="multilevel"/>
    <w:tmpl w:val="7D1E5C80"/>
    <w:styleLink w:val="LLScheduleHeading"/>
    <w:lvl w:ilvl="0">
      <w:start w:val="1"/>
      <w:numFmt w:val="decimal"/>
      <w:pStyle w:val="ScheduleHeading"/>
      <w:suff w:val="nothing"/>
      <w:lvlText w:val="Schedule %1"/>
      <w:lvlJc w:val="left"/>
      <w:pPr>
        <w:ind w:left="0" w:firstLine="0"/>
      </w:pPr>
      <w:rPr>
        <w:rFonts w:ascii="Arial" w:hAnsi="Arial" w:hint="default"/>
      </w:rPr>
    </w:lvl>
    <w:lvl w:ilvl="1">
      <w:start w:val="1"/>
      <w:numFmt w:val="none"/>
      <w:lvlText w:val=""/>
      <w:lvlJc w:val="left"/>
      <w:pPr>
        <w:ind w:left="0" w:firstLine="0"/>
      </w:pPr>
      <w:rPr>
        <w:rFonts w:hint="default"/>
      </w:rPr>
    </w:lvl>
    <w:lvl w:ilvl="2">
      <w:start w:val="1"/>
      <w:numFmt w:val="none"/>
      <w:lvlText w:val=""/>
      <w:lvlJc w:val="left"/>
      <w:pPr>
        <w:ind w:left="0" w:firstLine="0"/>
      </w:pPr>
      <w:rPr>
        <w:rFonts w:hint="default"/>
      </w:rPr>
    </w:lvl>
    <w:lvl w:ilvl="3">
      <w:start w:val="1"/>
      <w:numFmt w:val="none"/>
      <w:lvlText w:val=""/>
      <w:lvlJc w:val="left"/>
      <w:pPr>
        <w:ind w:left="0" w:firstLine="0"/>
      </w:pPr>
      <w:rPr>
        <w:rFonts w:hint="default"/>
      </w:rPr>
    </w:lvl>
    <w:lvl w:ilvl="4">
      <w:start w:val="1"/>
      <w:numFmt w:val="none"/>
      <w:lvlText w:val=""/>
      <w:lvlJc w:val="left"/>
      <w:pPr>
        <w:ind w:left="0" w:firstLine="0"/>
      </w:pPr>
      <w:rPr>
        <w:rFonts w:hint="default"/>
      </w:rPr>
    </w:lvl>
    <w:lvl w:ilvl="5">
      <w:start w:val="1"/>
      <w:numFmt w:val="none"/>
      <w:lvlText w:val=""/>
      <w:lvlJc w:val="left"/>
      <w:pPr>
        <w:ind w:left="0" w:firstLine="0"/>
      </w:pPr>
      <w:rPr>
        <w:rFonts w:hint="default"/>
      </w:rPr>
    </w:lvl>
    <w:lvl w:ilvl="6">
      <w:start w:val="1"/>
      <w:numFmt w:val="none"/>
      <w:lvlText w:val=""/>
      <w:lvlJc w:val="left"/>
      <w:pPr>
        <w:ind w:left="0" w:firstLine="0"/>
      </w:pPr>
      <w:rPr>
        <w:rFonts w:hint="default"/>
      </w:rPr>
    </w:lvl>
    <w:lvl w:ilvl="7">
      <w:start w:val="1"/>
      <w:numFmt w:val="none"/>
      <w:lvlText w:val=""/>
      <w:lvlJc w:val="left"/>
      <w:pPr>
        <w:ind w:left="0" w:firstLine="0"/>
      </w:pPr>
      <w:rPr>
        <w:rFonts w:hint="default"/>
      </w:rPr>
    </w:lvl>
    <w:lvl w:ilvl="8">
      <w:start w:val="1"/>
      <w:numFmt w:val="none"/>
      <w:lvlText w:val=""/>
      <w:lvlJc w:val="left"/>
      <w:pPr>
        <w:ind w:left="0" w:firstLine="0"/>
      </w:pPr>
      <w:rPr>
        <w:rFonts w:hint="default"/>
      </w:rPr>
    </w:lvl>
  </w:abstractNum>
  <w:abstractNum w:abstractNumId="27" w15:restartNumberingAfterBreak="0">
    <w:nsid w:val="19C26059"/>
    <w:multiLevelType w:val="multilevel"/>
    <w:tmpl w:val="F49C9BD6"/>
    <w:styleLink w:val="LLUCRoman"/>
    <w:lvl w:ilvl="0">
      <w:start w:val="1"/>
      <w:numFmt w:val="upperRoman"/>
      <w:pStyle w:val="UCRoman1"/>
      <w:lvlText w:val="%1."/>
      <w:lvlJc w:val="left"/>
      <w:pPr>
        <w:tabs>
          <w:tab w:val="num" w:pos="680"/>
        </w:tabs>
        <w:ind w:left="680" w:hanging="680"/>
      </w:pPr>
      <w:rPr>
        <w:rFonts w:hAnsi="Arial" w:cs="Times New Roman" w:hint="default"/>
        <w:b/>
        <w:i w:val="0"/>
      </w:rPr>
    </w:lvl>
    <w:lvl w:ilvl="1">
      <w:start w:val="1"/>
      <w:numFmt w:val="upperRoman"/>
      <w:pStyle w:val="UCRoman2"/>
      <w:lvlText w:val="%2."/>
      <w:lvlJc w:val="left"/>
      <w:pPr>
        <w:tabs>
          <w:tab w:val="num" w:pos="1360"/>
        </w:tabs>
        <w:ind w:left="1360" w:hanging="680"/>
      </w:pPr>
      <w:rPr>
        <w:rFonts w:hint="default"/>
        <w:b/>
        <w:i w:val="0"/>
      </w:rPr>
    </w:lvl>
    <w:lvl w:ilvl="2">
      <w:start w:val="1"/>
      <w:numFmt w:val="upperRoman"/>
      <w:pStyle w:val="UCRoman3"/>
      <w:lvlText w:val="%3."/>
      <w:lvlJc w:val="left"/>
      <w:pPr>
        <w:tabs>
          <w:tab w:val="num" w:pos="2040"/>
        </w:tabs>
        <w:ind w:left="2040" w:hanging="680"/>
      </w:pPr>
      <w:rPr>
        <w:rFonts w:hint="default"/>
        <w:b/>
        <w:i w:val="0"/>
      </w:rPr>
    </w:lvl>
    <w:lvl w:ilvl="3">
      <w:start w:val="1"/>
      <w:numFmt w:val="upperRoman"/>
      <w:pStyle w:val="UCRoman4"/>
      <w:lvlText w:val="%4."/>
      <w:lvlJc w:val="left"/>
      <w:pPr>
        <w:tabs>
          <w:tab w:val="num" w:pos="2722"/>
        </w:tabs>
        <w:ind w:left="2722" w:hanging="682"/>
      </w:pPr>
      <w:rPr>
        <w:rFonts w:hint="default"/>
        <w:b/>
        <w:i w:val="0"/>
      </w:rPr>
    </w:lvl>
    <w:lvl w:ilvl="4">
      <w:start w:val="1"/>
      <w:numFmt w:val="upperRoman"/>
      <w:pStyle w:val="UCRoman5"/>
      <w:lvlText w:val="%5"/>
      <w:lvlJc w:val="left"/>
      <w:pPr>
        <w:tabs>
          <w:tab w:val="num" w:pos="3402"/>
        </w:tabs>
        <w:ind w:left="3402" w:hanging="680"/>
      </w:pPr>
      <w:rPr>
        <w:rFonts w:hint="default"/>
        <w:b/>
        <w:i w:val="0"/>
      </w:rPr>
    </w:lvl>
    <w:lvl w:ilvl="5">
      <w:start w:val="1"/>
      <w:numFmt w:val="upperRoman"/>
      <w:pStyle w:val="UCRoman6"/>
      <w:lvlText w:val="%6."/>
      <w:lvlJc w:val="left"/>
      <w:pPr>
        <w:tabs>
          <w:tab w:val="num" w:pos="4082"/>
        </w:tabs>
        <w:ind w:left="4082" w:hanging="680"/>
      </w:pPr>
      <w:rPr>
        <w:rFonts w:hint="default"/>
        <w:b/>
        <w:i w:val="0"/>
      </w:rPr>
    </w:lvl>
    <w:lvl w:ilvl="6">
      <w:start w:val="1"/>
      <w:numFmt w:val="none"/>
      <w:lvlText w:val=""/>
      <w:lvlJc w:val="left"/>
      <w:pPr>
        <w:ind w:left="4082" w:hanging="680"/>
      </w:pPr>
      <w:rPr>
        <w:rFonts w:hint="default"/>
      </w:rPr>
    </w:lvl>
    <w:lvl w:ilvl="7">
      <w:start w:val="1"/>
      <w:numFmt w:val="none"/>
      <w:lvlText w:val=""/>
      <w:lvlJc w:val="left"/>
      <w:pPr>
        <w:ind w:left="4082" w:hanging="680"/>
      </w:pPr>
      <w:rPr>
        <w:rFonts w:hint="default"/>
      </w:rPr>
    </w:lvl>
    <w:lvl w:ilvl="8">
      <w:start w:val="1"/>
      <w:numFmt w:val="none"/>
      <w:lvlText w:val=""/>
      <w:lvlJc w:val="left"/>
      <w:pPr>
        <w:ind w:left="4082" w:hanging="680"/>
      </w:pPr>
      <w:rPr>
        <w:rFonts w:hint="default"/>
      </w:rPr>
    </w:lvl>
  </w:abstractNum>
  <w:abstractNum w:abstractNumId="28" w15:restartNumberingAfterBreak="0">
    <w:nsid w:val="1A4C0119"/>
    <w:multiLevelType w:val="multilevel"/>
    <w:tmpl w:val="FF669768"/>
    <w:styleLink w:val="LLTablealpha"/>
    <w:lvl w:ilvl="0">
      <w:start w:val="1"/>
      <w:numFmt w:val="lowerLetter"/>
      <w:pStyle w:val="Tablealpha"/>
      <w:lvlText w:val="(%1)"/>
      <w:lvlJc w:val="left"/>
      <w:pPr>
        <w:tabs>
          <w:tab w:val="num" w:pos="680"/>
        </w:tabs>
        <w:ind w:left="680" w:hanging="680"/>
      </w:pPr>
      <w:rPr>
        <w:rFonts w:hAnsi="Arial" w:cs="Times New Roman" w:hint="default"/>
      </w:rPr>
    </w:lvl>
    <w:lvl w:ilvl="1">
      <w:start w:val="1"/>
      <w:numFmt w:val="none"/>
      <w:lvlText w:val="%2"/>
      <w:lvlJc w:val="left"/>
      <w:pPr>
        <w:ind w:left="680" w:hanging="680"/>
      </w:pPr>
      <w:rPr>
        <w:rFonts w:hint="default"/>
      </w:rPr>
    </w:lvl>
    <w:lvl w:ilvl="2">
      <w:start w:val="1"/>
      <w:numFmt w:val="none"/>
      <w:lvlText w:val=""/>
      <w:lvlJc w:val="left"/>
      <w:pPr>
        <w:ind w:left="680" w:hanging="680"/>
      </w:pPr>
      <w:rPr>
        <w:rFonts w:hint="default"/>
      </w:rPr>
    </w:lvl>
    <w:lvl w:ilvl="3">
      <w:start w:val="1"/>
      <w:numFmt w:val="none"/>
      <w:lvlText w:val=""/>
      <w:lvlJc w:val="left"/>
      <w:pPr>
        <w:ind w:left="680" w:hanging="680"/>
      </w:pPr>
      <w:rPr>
        <w:rFonts w:hint="default"/>
      </w:rPr>
    </w:lvl>
    <w:lvl w:ilvl="4">
      <w:start w:val="1"/>
      <w:numFmt w:val="none"/>
      <w:lvlText w:val=""/>
      <w:lvlJc w:val="left"/>
      <w:pPr>
        <w:ind w:left="680" w:hanging="680"/>
      </w:pPr>
      <w:rPr>
        <w:rFonts w:hint="default"/>
      </w:rPr>
    </w:lvl>
    <w:lvl w:ilvl="5">
      <w:start w:val="1"/>
      <w:numFmt w:val="none"/>
      <w:lvlText w:val=""/>
      <w:lvlJc w:val="left"/>
      <w:pPr>
        <w:ind w:left="680" w:hanging="680"/>
      </w:pPr>
      <w:rPr>
        <w:rFonts w:hint="default"/>
      </w:rPr>
    </w:lvl>
    <w:lvl w:ilvl="6">
      <w:start w:val="1"/>
      <w:numFmt w:val="none"/>
      <w:lvlText w:val=""/>
      <w:lvlJc w:val="left"/>
      <w:pPr>
        <w:ind w:left="680" w:hanging="680"/>
      </w:pPr>
      <w:rPr>
        <w:rFonts w:hint="default"/>
      </w:rPr>
    </w:lvl>
    <w:lvl w:ilvl="7">
      <w:start w:val="1"/>
      <w:numFmt w:val="none"/>
      <w:lvlText w:val=""/>
      <w:lvlJc w:val="left"/>
      <w:pPr>
        <w:ind w:left="680" w:hanging="680"/>
      </w:pPr>
      <w:rPr>
        <w:rFonts w:hint="default"/>
      </w:rPr>
    </w:lvl>
    <w:lvl w:ilvl="8">
      <w:start w:val="1"/>
      <w:numFmt w:val="none"/>
      <w:lvlText w:val=""/>
      <w:lvlJc w:val="left"/>
      <w:pPr>
        <w:ind w:left="680" w:hanging="680"/>
      </w:pPr>
      <w:rPr>
        <w:rFonts w:hint="default"/>
      </w:rPr>
    </w:lvl>
  </w:abstractNum>
  <w:abstractNum w:abstractNumId="29" w15:restartNumberingAfterBreak="0">
    <w:nsid w:val="1DE0546B"/>
    <w:multiLevelType w:val="multilevel"/>
    <w:tmpl w:val="052824E8"/>
    <w:numStyleLink w:val="LLParties"/>
  </w:abstractNum>
  <w:abstractNum w:abstractNumId="30" w15:restartNumberingAfterBreak="0">
    <w:nsid w:val="1E316AF0"/>
    <w:multiLevelType w:val="multilevel"/>
    <w:tmpl w:val="5770BC38"/>
    <w:styleLink w:val="LLdoublealpha"/>
    <w:lvl w:ilvl="0">
      <w:start w:val="27"/>
      <w:numFmt w:val="lowerLetter"/>
      <w:pStyle w:val="doublealpha"/>
      <w:lvlText w:val="(%1)"/>
      <w:lvlJc w:val="left"/>
      <w:pPr>
        <w:tabs>
          <w:tab w:val="num" w:pos="680"/>
        </w:tabs>
        <w:ind w:left="680" w:hanging="680"/>
      </w:pPr>
      <w:rPr>
        <w:rFonts w:hAnsi="Arial" w:cs="Times New Roman" w:hint="default"/>
      </w:rPr>
    </w:lvl>
    <w:lvl w:ilvl="1">
      <w:start w:val="1"/>
      <w:numFmt w:val="none"/>
      <w:lvlRestart w:val="0"/>
      <w:lvlText w:val=""/>
      <w:lvlJc w:val="left"/>
      <w:pPr>
        <w:ind w:left="680" w:hanging="680"/>
      </w:pPr>
      <w:rPr>
        <w:rFonts w:hint="default"/>
      </w:rPr>
    </w:lvl>
    <w:lvl w:ilvl="2">
      <w:start w:val="1"/>
      <w:numFmt w:val="none"/>
      <w:lvlRestart w:val="0"/>
      <w:lvlText w:val=""/>
      <w:lvlJc w:val="left"/>
      <w:pPr>
        <w:ind w:left="680" w:hanging="680"/>
      </w:pPr>
      <w:rPr>
        <w:rFonts w:hint="default"/>
      </w:rPr>
    </w:lvl>
    <w:lvl w:ilvl="3">
      <w:start w:val="1"/>
      <w:numFmt w:val="none"/>
      <w:lvlRestart w:val="0"/>
      <w:lvlText w:val=""/>
      <w:lvlJc w:val="left"/>
      <w:pPr>
        <w:ind w:left="680" w:hanging="680"/>
      </w:pPr>
      <w:rPr>
        <w:rFonts w:hint="default"/>
      </w:rPr>
    </w:lvl>
    <w:lvl w:ilvl="4">
      <w:start w:val="1"/>
      <w:numFmt w:val="none"/>
      <w:lvlRestart w:val="0"/>
      <w:lvlText w:val=""/>
      <w:lvlJc w:val="left"/>
      <w:pPr>
        <w:ind w:left="680" w:hanging="680"/>
      </w:pPr>
      <w:rPr>
        <w:rFonts w:hint="default"/>
      </w:rPr>
    </w:lvl>
    <w:lvl w:ilvl="5">
      <w:start w:val="1"/>
      <w:numFmt w:val="none"/>
      <w:lvlRestart w:val="0"/>
      <w:lvlText w:val=""/>
      <w:lvlJc w:val="left"/>
      <w:pPr>
        <w:ind w:left="680" w:hanging="680"/>
      </w:pPr>
      <w:rPr>
        <w:rFonts w:hint="default"/>
      </w:rPr>
    </w:lvl>
    <w:lvl w:ilvl="6">
      <w:start w:val="1"/>
      <w:numFmt w:val="none"/>
      <w:lvlRestart w:val="0"/>
      <w:lvlText w:val=""/>
      <w:lvlJc w:val="left"/>
      <w:pPr>
        <w:ind w:left="680" w:hanging="680"/>
      </w:pPr>
      <w:rPr>
        <w:rFonts w:hint="default"/>
      </w:rPr>
    </w:lvl>
    <w:lvl w:ilvl="7">
      <w:start w:val="1"/>
      <w:numFmt w:val="none"/>
      <w:lvlRestart w:val="0"/>
      <w:lvlText w:val=""/>
      <w:lvlJc w:val="left"/>
      <w:pPr>
        <w:ind w:left="680" w:hanging="680"/>
      </w:pPr>
      <w:rPr>
        <w:rFonts w:hint="default"/>
      </w:rPr>
    </w:lvl>
    <w:lvl w:ilvl="8">
      <w:start w:val="1"/>
      <w:numFmt w:val="none"/>
      <w:lvlRestart w:val="0"/>
      <w:lvlText w:val=""/>
      <w:lvlJc w:val="left"/>
      <w:pPr>
        <w:ind w:left="680" w:hanging="680"/>
      </w:pPr>
      <w:rPr>
        <w:rFonts w:hint="default"/>
      </w:rPr>
    </w:lvl>
  </w:abstractNum>
  <w:abstractNum w:abstractNumId="31" w15:restartNumberingAfterBreak="0">
    <w:nsid w:val="21DF2964"/>
    <w:multiLevelType w:val="multilevel"/>
    <w:tmpl w:val="3F4E1D08"/>
    <w:numStyleLink w:val="LLTableroman"/>
  </w:abstractNum>
  <w:abstractNum w:abstractNumId="32" w15:restartNumberingAfterBreak="0">
    <w:nsid w:val="26AC44F1"/>
    <w:multiLevelType w:val="multilevel"/>
    <w:tmpl w:val="08090023"/>
    <w:styleLink w:val="ArticleSection"/>
    <w:lvl w:ilvl="0">
      <w:start w:val="1"/>
      <w:numFmt w:val="upperRoman"/>
      <w:pStyle w:val="Heading1"/>
      <w:lvlText w:val="Article %1."/>
      <w:lvlJc w:val="left"/>
      <w:pPr>
        <w:ind w:left="0" w:firstLine="0"/>
      </w:pPr>
    </w:lvl>
    <w:lvl w:ilvl="1">
      <w:start w:val="1"/>
      <w:numFmt w:val="decimalZero"/>
      <w:pStyle w:val="Heading2"/>
      <w:isLgl/>
      <w:lvlText w:val="Section %1.%2"/>
      <w:lvlJc w:val="left"/>
      <w:pPr>
        <w:ind w:left="0" w:firstLine="0"/>
      </w:pPr>
    </w:lvl>
    <w:lvl w:ilvl="2">
      <w:start w:val="1"/>
      <w:numFmt w:val="lowerLetter"/>
      <w:pStyle w:val="Heading3"/>
      <w:lvlText w:val="(%3)"/>
      <w:lvlJc w:val="left"/>
      <w:pPr>
        <w:ind w:left="720" w:hanging="432"/>
      </w:pPr>
    </w:lvl>
    <w:lvl w:ilvl="3">
      <w:start w:val="1"/>
      <w:numFmt w:val="lowerRoman"/>
      <w:pStyle w:val="Heading4"/>
      <w:lvlText w:val="(%4)"/>
      <w:lvlJc w:val="right"/>
      <w:pPr>
        <w:ind w:left="864" w:hanging="144"/>
      </w:pPr>
    </w:lvl>
    <w:lvl w:ilvl="4">
      <w:start w:val="1"/>
      <w:numFmt w:val="decimal"/>
      <w:pStyle w:val="Heading5"/>
      <w:lvlText w:val="%5)"/>
      <w:lvlJc w:val="left"/>
      <w:pPr>
        <w:ind w:left="1008" w:hanging="432"/>
      </w:pPr>
    </w:lvl>
    <w:lvl w:ilvl="5">
      <w:start w:val="1"/>
      <w:numFmt w:val="lowerLetter"/>
      <w:pStyle w:val="Heading6"/>
      <w:lvlText w:val="%6)"/>
      <w:lvlJc w:val="left"/>
      <w:pPr>
        <w:ind w:left="1152" w:hanging="432"/>
      </w:pPr>
    </w:lvl>
    <w:lvl w:ilvl="6">
      <w:start w:val="1"/>
      <w:numFmt w:val="lowerRoman"/>
      <w:pStyle w:val="Heading7"/>
      <w:lvlText w:val="%7)"/>
      <w:lvlJc w:val="right"/>
      <w:pPr>
        <w:ind w:left="1296" w:hanging="288"/>
      </w:pPr>
    </w:lvl>
    <w:lvl w:ilvl="7">
      <w:start w:val="1"/>
      <w:numFmt w:val="lowerLetter"/>
      <w:pStyle w:val="Heading8"/>
      <w:lvlText w:val="%8."/>
      <w:lvlJc w:val="left"/>
      <w:pPr>
        <w:ind w:left="1440" w:hanging="432"/>
      </w:pPr>
    </w:lvl>
    <w:lvl w:ilvl="8">
      <w:start w:val="1"/>
      <w:numFmt w:val="lowerRoman"/>
      <w:pStyle w:val="Heading9"/>
      <w:lvlText w:val="%9."/>
      <w:lvlJc w:val="right"/>
      <w:pPr>
        <w:ind w:left="1584" w:hanging="144"/>
      </w:pPr>
    </w:lvl>
  </w:abstractNum>
  <w:abstractNum w:abstractNumId="33" w15:restartNumberingAfterBreak="0">
    <w:nsid w:val="28CB304D"/>
    <w:multiLevelType w:val="multilevel"/>
    <w:tmpl w:val="8E46A924"/>
    <w:lvl w:ilvl="0">
      <w:start w:val="2"/>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34" w15:restartNumberingAfterBreak="0">
    <w:nsid w:val="29846E32"/>
    <w:multiLevelType w:val="multilevel"/>
    <w:tmpl w:val="CD34D7B6"/>
    <w:styleLink w:val="FormCOBody"/>
    <w:lvl w:ilvl="0">
      <w:start w:val="1"/>
      <w:numFmt w:val="decimal"/>
      <w:pStyle w:val="CObodynumbering"/>
      <w:lvlText w:val="(%1)"/>
      <w:lvlJc w:val="left"/>
      <w:pPr>
        <w:tabs>
          <w:tab w:val="num" w:pos="680"/>
        </w:tabs>
        <w:ind w:left="680" w:hanging="680"/>
      </w:pPr>
      <w:rPr>
        <w:rFonts w:ascii="Arial" w:hAnsi="Arial" w:hint="default"/>
        <w:sz w:val="20"/>
      </w:rPr>
    </w:lvl>
    <w:lvl w:ilvl="1">
      <w:start w:val="1"/>
      <w:numFmt w:val="none"/>
      <w:lvlText w:val=""/>
      <w:lvlJc w:val="left"/>
      <w:pPr>
        <w:tabs>
          <w:tab w:val="num" w:pos="680"/>
        </w:tabs>
        <w:ind w:left="680" w:hanging="680"/>
      </w:pPr>
      <w:rPr>
        <w:rFonts w:hint="default"/>
      </w:rPr>
    </w:lvl>
    <w:lvl w:ilvl="2">
      <w:start w:val="1"/>
      <w:numFmt w:val="none"/>
      <w:lvlText w:val=""/>
      <w:lvlJc w:val="left"/>
      <w:pPr>
        <w:tabs>
          <w:tab w:val="num" w:pos="680"/>
        </w:tabs>
        <w:ind w:left="680" w:hanging="680"/>
      </w:pPr>
      <w:rPr>
        <w:rFonts w:hint="default"/>
      </w:rPr>
    </w:lvl>
    <w:lvl w:ilvl="3">
      <w:start w:val="1"/>
      <w:numFmt w:val="none"/>
      <w:lvlText w:val=""/>
      <w:lvlJc w:val="left"/>
      <w:pPr>
        <w:tabs>
          <w:tab w:val="num" w:pos="680"/>
        </w:tabs>
        <w:ind w:left="680" w:hanging="680"/>
      </w:pPr>
      <w:rPr>
        <w:rFonts w:hint="default"/>
      </w:rPr>
    </w:lvl>
    <w:lvl w:ilvl="4">
      <w:start w:val="1"/>
      <w:numFmt w:val="none"/>
      <w:lvlText w:val=""/>
      <w:lvlJc w:val="left"/>
      <w:pPr>
        <w:tabs>
          <w:tab w:val="num" w:pos="680"/>
        </w:tabs>
        <w:ind w:left="680" w:hanging="680"/>
      </w:pPr>
      <w:rPr>
        <w:rFonts w:hint="default"/>
      </w:rPr>
    </w:lvl>
    <w:lvl w:ilvl="5">
      <w:start w:val="1"/>
      <w:numFmt w:val="none"/>
      <w:lvlText w:val=""/>
      <w:lvlJc w:val="left"/>
      <w:pPr>
        <w:tabs>
          <w:tab w:val="num" w:pos="680"/>
        </w:tabs>
        <w:ind w:left="680" w:hanging="680"/>
      </w:pPr>
      <w:rPr>
        <w:rFonts w:hint="default"/>
      </w:rPr>
    </w:lvl>
    <w:lvl w:ilvl="6">
      <w:start w:val="1"/>
      <w:numFmt w:val="none"/>
      <w:lvlText w:val=""/>
      <w:lvlJc w:val="left"/>
      <w:pPr>
        <w:tabs>
          <w:tab w:val="num" w:pos="680"/>
        </w:tabs>
        <w:ind w:left="680" w:hanging="680"/>
      </w:pPr>
      <w:rPr>
        <w:rFonts w:hint="default"/>
      </w:rPr>
    </w:lvl>
    <w:lvl w:ilvl="7">
      <w:start w:val="1"/>
      <w:numFmt w:val="none"/>
      <w:lvlText w:val=""/>
      <w:lvlJc w:val="left"/>
      <w:pPr>
        <w:tabs>
          <w:tab w:val="num" w:pos="680"/>
        </w:tabs>
        <w:ind w:left="680" w:hanging="680"/>
      </w:pPr>
      <w:rPr>
        <w:rFonts w:hint="default"/>
      </w:rPr>
    </w:lvl>
    <w:lvl w:ilvl="8">
      <w:start w:val="1"/>
      <w:numFmt w:val="none"/>
      <w:lvlText w:val=""/>
      <w:lvlJc w:val="left"/>
      <w:pPr>
        <w:tabs>
          <w:tab w:val="num" w:pos="680"/>
        </w:tabs>
        <w:ind w:left="680" w:hanging="680"/>
      </w:pPr>
      <w:rPr>
        <w:rFonts w:hint="default"/>
      </w:rPr>
    </w:lvl>
  </w:abstractNum>
  <w:abstractNum w:abstractNumId="35" w15:restartNumberingAfterBreak="0">
    <w:nsid w:val="2B7D119F"/>
    <w:multiLevelType w:val="multilevel"/>
    <w:tmpl w:val="45E60E26"/>
    <w:styleLink w:val="LLListNumbers"/>
    <w:lvl w:ilvl="0">
      <w:start w:val="1"/>
      <w:numFmt w:val="decimal"/>
      <w:pStyle w:val="ListNumbers"/>
      <w:lvlText w:val="%1."/>
      <w:lvlJc w:val="left"/>
      <w:pPr>
        <w:tabs>
          <w:tab w:val="num" w:pos="680"/>
        </w:tabs>
        <w:ind w:left="680" w:hanging="680"/>
      </w:pPr>
      <w:rPr>
        <w:rFonts w:hAnsi="Arial" w:cs="Times New Roman" w:hint="default"/>
        <w:b/>
        <w:i w:val="0"/>
      </w:rPr>
    </w:lvl>
    <w:lvl w:ilvl="1">
      <w:start w:val="1"/>
      <w:numFmt w:val="none"/>
      <w:lvlRestart w:val="0"/>
      <w:lvlText w:val=""/>
      <w:lvlJc w:val="left"/>
      <w:pPr>
        <w:ind w:left="680" w:hanging="680"/>
      </w:pPr>
      <w:rPr>
        <w:rFonts w:hint="default"/>
      </w:rPr>
    </w:lvl>
    <w:lvl w:ilvl="2">
      <w:start w:val="1"/>
      <w:numFmt w:val="none"/>
      <w:lvlRestart w:val="0"/>
      <w:lvlText w:val=""/>
      <w:lvlJc w:val="left"/>
      <w:pPr>
        <w:ind w:left="680" w:hanging="680"/>
      </w:pPr>
      <w:rPr>
        <w:rFonts w:hint="default"/>
      </w:rPr>
    </w:lvl>
    <w:lvl w:ilvl="3">
      <w:start w:val="1"/>
      <w:numFmt w:val="none"/>
      <w:lvlRestart w:val="0"/>
      <w:lvlText w:val=""/>
      <w:lvlJc w:val="left"/>
      <w:pPr>
        <w:ind w:left="680" w:hanging="680"/>
      </w:pPr>
      <w:rPr>
        <w:rFonts w:hint="default"/>
      </w:rPr>
    </w:lvl>
    <w:lvl w:ilvl="4">
      <w:start w:val="1"/>
      <w:numFmt w:val="none"/>
      <w:lvlRestart w:val="0"/>
      <w:lvlText w:val=""/>
      <w:lvlJc w:val="left"/>
      <w:pPr>
        <w:ind w:left="680" w:hanging="680"/>
      </w:pPr>
      <w:rPr>
        <w:rFonts w:hint="default"/>
      </w:rPr>
    </w:lvl>
    <w:lvl w:ilvl="5">
      <w:start w:val="1"/>
      <w:numFmt w:val="none"/>
      <w:lvlRestart w:val="0"/>
      <w:lvlText w:val=""/>
      <w:lvlJc w:val="left"/>
      <w:pPr>
        <w:ind w:left="680" w:hanging="680"/>
      </w:pPr>
      <w:rPr>
        <w:rFonts w:hint="default"/>
      </w:rPr>
    </w:lvl>
    <w:lvl w:ilvl="6">
      <w:start w:val="1"/>
      <w:numFmt w:val="none"/>
      <w:lvlRestart w:val="0"/>
      <w:lvlText w:val=""/>
      <w:lvlJc w:val="left"/>
      <w:pPr>
        <w:ind w:left="680" w:hanging="680"/>
      </w:pPr>
      <w:rPr>
        <w:rFonts w:hint="default"/>
      </w:rPr>
    </w:lvl>
    <w:lvl w:ilvl="7">
      <w:start w:val="1"/>
      <w:numFmt w:val="none"/>
      <w:lvlRestart w:val="0"/>
      <w:lvlText w:val=""/>
      <w:lvlJc w:val="left"/>
      <w:pPr>
        <w:ind w:left="680" w:hanging="680"/>
      </w:pPr>
      <w:rPr>
        <w:rFonts w:hint="default"/>
      </w:rPr>
    </w:lvl>
    <w:lvl w:ilvl="8">
      <w:start w:val="1"/>
      <w:numFmt w:val="none"/>
      <w:lvlRestart w:val="0"/>
      <w:lvlText w:val=""/>
      <w:lvlJc w:val="left"/>
      <w:pPr>
        <w:ind w:left="680" w:hanging="680"/>
      </w:pPr>
      <w:rPr>
        <w:rFonts w:hint="default"/>
      </w:rPr>
    </w:lvl>
  </w:abstractNum>
  <w:abstractNum w:abstractNumId="36" w15:restartNumberingAfterBreak="0">
    <w:nsid w:val="325637B4"/>
    <w:multiLevelType w:val="multilevel"/>
    <w:tmpl w:val="5770BC38"/>
    <w:numStyleLink w:val="LLdoublealpha"/>
  </w:abstractNum>
  <w:abstractNum w:abstractNumId="37" w15:restartNumberingAfterBreak="0">
    <w:nsid w:val="337A093D"/>
    <w:multiLevelType w:val="multilevel"/>
    <w:tmpl w:val="75BC11A0"/>
    <w:numStyleLink w:val="LLUCAlpha"/>
  </w:abstractNum>
  <w:abstractNum w:abstractNumId="38" w15:restartNumberingAfterBreak="0">
    <w:nsid w:val="354129BB"/>
    <w:multiLevelType w:val="multilevel"/>
    <w:tmpl w:val="383CCEC4"/>
    <w:styleLink w:val="LLdashbullet"/>
    <w:lvl w:ilvl="0">
      <w:start w:val="1"/>
      <w:numFmt w:val="bullet"/>
      <w:pStyle w:val="dashbullet1"/>
      <w:lvlText w:val=""/>
      <w:lvlJc w:val="left"/>
      <w:pPr>
        <w:tabs>
          <w:tab w:val="num" w:pos="680"/>
        </w:tabs>
        <w:ind w:left="680" w:hanging="680"/>
      </w:pPr>
      <w:rPr>
        <w:rFonts w:ascii="Symbol" w:hAnsi="Symbol" w:cs="Times New Roman" w:hint="default"/>
        <w:color w:val="auto"/>
      </w:rPr>
    </w:lvl>
    <w:lvl w:ilvl="1">
      <w:start w:val="1"/>
      <w:numFmt w:val="bullet"/>
      <w:lvlRestart w:val="0"/>
      <w:pStyle w:val="dashbullet2"/>
      <w:lvlText w:val=""/>
      <w:lvlJc w:val="left"/>
      <w:pPr>
        <w:tabs>
          <w:tab w:val="num" w:pos="1361"/>
        </w:tabs>
        <w:ind w:left="1361" w:hanging="681"/>
      </w:pPr>
      <w:rPr>
        <w:rFonts w:ascii="Symbol" w:hAnsi="Symbol" w:cs="Times New Roman" w:hint="default"/>
        <w:color w:val="auto"/>
      </w:rPr>
    </w:lvl>
    <w:lvl w:ilvl="2">
      <w:start w:val="1"/>
      <w:numFmt w:val="bullet"/>
      <w:lvlRestart w:val="0"/>
      <w:pStyle w:val="dashbullet3"/>
      <w:lvlText w:val=""/>
      <w:lvlJc w:val="left"/>
      <w:pPr>
        <w:tabs>
          <w:tab w:val="num" w:pos="2041"/>
        </w:tabs>
        <w:ind w:left="2041" w:hanging="680"/>
      </w:pPr>
      <w:rPr>
        <w:rFonts w:ascii="Symbol" w:hAnsi="Symbol" w:cs="Times New Roman" w:hint="default"/>
        <w:color w:val="auto"/>
      </w:rPr>
    </w:lvl>
    <w:lvl w:ilvl="3">
      <w:start w:val="1"/>
      <w:numFmt w:val="bullet"/>
      <w:lvlRestart w:val="0"/>
      <w:pStyle w:val="dashbullet4"/>
      <w:lvlText w:val=""/>
      <w:lvlJc w:val="left"/>
      <w:pPr>
        <w:tabs>
          <w:tab w:val="num" w:pos="2722"/>
        </w:tabs>
        <w:ind w:left="2722" w:hanging="681"/>
      </w:pPr>
      <w:rPr>
        <w:rFonts w:ascii="Symbol" w:hAnsi="Symbol" w:cs="Times New Roman" w:hint="default"/>
        <w:color w:val="auto"/>
      </w:rPr>
    </w:lvl>
    <w:lvl w:ilvl="4">
      <w:start w:val="1"/>
      <w:numFmt w:val="bullet"/>
      <w:lvlRestart w:val="0"/>
      <w:pStyle w:val="dashbullet5"/>
      <w:lvlText w:val=""/>
      <w:lvlJc w:val="left"/>
      <w:pPr>
        <w:tabs>
          <w:tab w:val="num" w:pos="3402"/>
        </w:tabs>
        <w:ind w:left="3402" w:hanging="680"/>
      </w:pPr>
      <w:rPr>
        <w:rFonts w:ascii="Symbol" w:hAnsi="Symbol" w:cs="Times New Roman" w:hint="default"/>
        <w:color w:val="auto"/>
      </w:rPr>
    </w:lvl>
    <w:lvl w:ilvl="5">
      <w:start w:val="1"/>
      <w:numFmt w:val="bullet"/>
      <w:lvlRestart w:val="0"/>
      <w:pStyle w:val="dashbullet6"/>
      <w:lvlText w:val=""/>
      <w:lvlJc w:val="left"/>
      <w:pPr>
        <w:tabs>
          <w:tab w:val="num" w:pos="4082"/>
        </w:tabs>
        <w:ind w:left="4082" w:hanging="680"/>
      </w:pPr>
      <w:rPr>
        <w:rFonts w:ascii="Symbol" w:hAnsi="Symbol" w:cs="Times New Roman" w:hint="default"/>
        <w:color w:val="auto"/>
      </w:rPr>
    </w:lvl>
    <w:lvl w:ilvl="6">
      <w:start w:val="1"/>
      <w:numFmt w:val="none"/>
      <w:lvlRestart w:val="0"/>
      <w:lvlText w:val=""/>
      <w:lvlJc w:val="left"/>
      <w:pPr>
        <w:ind w:left="4082" w:hanging="680"/>
      </w:pPr>
      <w:rPr>
        <w:rFonts w:hint="default"/>
      </w:rPr>
    </w:lvl>
    <w:lvl w:ilvl="7">
      <w:start w:val="1"/>
      <w:numFmt w:val="none"/>
      <w:lvlRestart w:val="0"/>
      <w:lvlText w:val=""/>
      <w:lvlJc w:val="left"/>
      <w:pPr>
        <w:ind w:left="4082" w:hanging="680"/>
      </w:pPr>
      <w:rPr>
        <w:rFonts w:hint="default"/>
      </w:rPr>
    </w:lvl>
    <w:lvl w:ilvl="8">
      <w:start w:val="1"/>
      <w:numFmt w:val="none"/>
      <w:lvlRestart w:val="0"/>
      <w:lvlText w:val=""/>
      <w:lvlJc w:val="left"/>
      <w:pPr>
        <w:ind w:left="4082" w:hanging="680"/>
      </w:pPr>
      <w:rPr>
        <w:rFonts w:hint="default"/>
      </w:rPr>
    </w:lvl>
  </w:abstractNum>
  <w:abstractNum w:abstractNumId="39" w15:restartNumberingAfterBreak="0">
    <w:nsid w:val="3D9D7C00"/>
    <w:multiLevelType w:val="multilevel"/>
    <w:tmpl w:val="F5AA3B4C"/>
    <w:styleLink w:val="LLTOC"/>
    <w:lvl w:ilvl="0">
      <w:start w:val="1"/>
      <w:numFmt w:val="none"/>
      <w:lvlText w:val=""/>
      <w:lvlJc w:val="left"/>
      <w:pPr>
        <w:ind w:left="0" w:firstLine="0"/>
      </w:pPr>
      <w:rPr>
        <w:rFonts w:hAnsi="Arial" w:cs="Times New Roman" w:hint="default"/>
      </w:rPr>
    </w:lvl>
    <w:lvl w:ilvl="1">
      <w:start w:val="1"/>
      <w:numFmt w:val="none"/>
      <w:lvlText w:val=""/>
      <w:lvlJc w:val="left"/>
      <w:pPr>
        <w:ind w:left="0" w:firstLine="0"/>
      </w:pPr>
      <w:rPr>
        <w:rFonts w:hint="default"/>
      </w:rPr>
    </w:lvl>
    <w:lvl w:ilvl="2">
      <w:start w:val="1"/>
      <w:numFmt w:val="none"/>
      <w:lvlText w:val=""/>
      <w:lvlJc w:val="left"/>
      <w:pPr>
        <w:ind w:left="680" w:firstLine="0"/>
      </w:pPr>
      <w:rPr>
        <w:rFonts w:hint="default"/>
      </w:rPr>
    </w:lvl>
    <w:lvl w:ilvl="3">
      <w:start w:val="1"/>
      <w:numFmt w:val="none"/>
      <w:lvlText w:val=""/>
      <w:lvlJc w:val="left"/>
      <w:pPr>
        <w:ind w:left="680" w:firstLine="0"/>
      </w:pPr>
      <w:rPr>
        <w:rFonts w:hint="default"/>
      </w:rPr>
    </w:lvl>
    <w:lvl w:ilvl="4">
      <w:start w:val="1"/>
      <w:numFmt w:val="none"/>
      <w:lvlText w:val=""/>
      <w:lvlJc w:val="left"/>
      <w:pPr>
        <w:ind w:left="0" w:firstLine="0"/>
      </w:pPr>
      <w:rPr>
        <w:rFonts w:hint="default"/>
      </w:rPr>
    </w:lvl>
    <w:lvl w:ilvl="5">
      <w:start w:val="1"/>
      <w:numFmt w:val="none"/>
      <w:lvlText w:val=""/>
      <w:lvlJc w:val="left"/>
      <w:pPr>
        <w:ind w:left="0" w:firstLine="0"/>
      </w:pPr>
      <w:rPr>
        <w:rFonts w:hint="default"/>
      </w:rPr>
    </w:lvl>
    <w:lvl w:ilvl="6">
      <w:start w:val="1"/>
      <w:numFmt w:val="none"/>
      <w:lvlText w:val=""/>
      <w:lvlJc w:val="left"/>
      <w:pPr>
        <w:ind w:left="0" w:firstLine="0"/>
      </w:pPr>
      <w:rPr>
        <w:rFonts w:hint="default"/>
      </w:rPr>
    </w:lvl>
    <w:lvl w:ilvl="7">
      <w:start w:val="1"/>
      <w:numFmt w:val="none"/>
      <w:lvlText w:val=""/>
      <w:lvlJc w:val="left"/>
      <w:pPr>
        <w:ind w:left="0" w:firstLine="0"/>
      </w:pPr>
      <w:rPr>
        <w:rFonts w:hint="default"/>
      </w:rPr>
    </w:lvl>
    <w:lvl w:ilvl="8">
      <w:start w:val="1"/>
      <w:numFmt w:val="none"/>
      <w:lvlText w:val=""/>
      <w:lvlJc w:val="left"/>
      <w:pPr>
        <w:ind w:left="0" w:firstLine="0"/>
      </w:pPr>
      <w:rPr>
        <w:rFonts w:hint="default"/>
      </w:rPr>
    </w:lvl>
  </w:abstractNum>
  <w:abstractNum w:abstractNumId="40" w15:restartNumberingAfterBreak="0">
    <w:nsid w:val="3F6369D8"/>
    <w:multiLevelType w:val="multilevel"/>
    <w:tmpl w:val="D4A44AA8"/>
    <w:numStyleLink w:val="LLengage"/>
  </w:abstractNum>
  <w:abstractNum w:abstractNumId="41" w15:restartNumberingAfterBreak="0">
    <w:nsid w:val="414C5001"/>
    <w:multiLevelType w:val="multilevel"/>
    <w:tmpl w:val="3F4E1D08"/>
    <w:styleLink w:val="LLTableroman"/>
    <w:lvl w:ilvl="0">
      <w:start w:val="1"/>
      <w:numFmt w:val="lowerRoman"/>
      <w:pStyle w:val="Tableroman"/>
      <w:lvlText w:val="(%1)"/>
      <w:lvlJc w:val="left"/>
      <w:pPr>
        <w:tabs>
          <w:tab w:val="num" w:pos="680"/>
        </w:tabs>
        <w:ind w:left="680" w:hanging="680"/>
      </w:pPr>
      <w:rPr>
        <w:rFonts w:hAnsi="Arial" w:cs="Times New Roman" w:hint="default"/>
      </w:rPr>
    </w:lvl>
    <w:lvl w:ilvl="1">
      <w:start w:val="1"/>
      <w:numFmt w:val="none"/>
      <w:lvlText w:val=""/>
      <w:lvlJc w:val="left"/>
      <w:pPr>
        <w:ind w:left="680" w:hanging="680"/>
      </w:pPr>
      <w:rPr>
        <w:rFonts w:hint="default"/>
      </w:rPr>
    </w:lvl>
    <w:lvl w:ilvl="2">
      <w:start w:val="1"/>
      <w:numFmt w:val="none"/>
      <w:lvlText w:val=""/>
      <w:lvlJc w:val="left"/>
      <w:pPr>
        <w:ind w:left="680" w:hanging="680"/>
      </w:pPr>
      <w:rPr>
        <w:rFonts w:hint="default"/>
      </w:rPr>
    </w:lvl>
    <w:lvl w:ilvl="3">
      <w:start w:val="1"/>
      <w:numFmt w:val="none"/>
      <w:lvlText w:val=""/>
      <w:lvlJc w:val="left"/>
      <w:pPr>
        <w:ind w:left="680" w:hanging="680"/>
      </w:pPr>
      <w:rPr>
        <w:rFonts w:hint="default"/>
      </w:rPr>
    </w:lvl>
    <w:lvl w:ilvl="4">
      <w:start w:val="1"/>
      <w:numFmt w:val="none"/>
      <w:lvlText w:val=""/>
      <w:lvlJc w:val="left"/>
      <w:pPr>
        <w:ind w:left="680" w:hanging="680"/>
      </w:pPr>
      <w:rPr>
        <w:rFonts w:hint="default"/>
      </w:rPr>
    </w:lvl>
    <w:lvl w:ilvl="5">
      <w:start w:val="1"/>
      <w:numFmt w:val="none"/>
      <w:lvlText w:val=""/>
      <w:lvlJc w:val="left"/>
      <w:pPr>
        <w:ind w:left="680" w:hanging="680"/>
      </w:pPr>
      <w:rPr>
        <w:rFonts w:hint="default"/>
      </w:rPr>
    </w:lvl>
    <w:lvl w:ilvl="6">
      <w:start w:val="1"/>
      <w:numFmt w:val="none"/>
      <w:lvlText w:val=""/>
      <w:lvlJc w:val="left"/>
      <w:pPr>
        <w:ind w:left="680" w:hanging="680"/>
      </w:pPr>
      <w:rPr>
        <w:rFonts w:hint="default"/>
      </w:rPr>
    </w:lvl>
    <w:lvl w:ilvl="7">
      <w:start w:val="1"/>
      <w:numFmt w:val="none"/>
      <w:lvlText w:val=""/>
      <w:lvlJc w:val="left"/>
      <w:pPr>
        <w:ind w:left="680" w:hanging="680"/>
      </w:pPr>
      <w:rPr>
        <w:rFonts w:hint="default"/>
      </w:rPr>
    </w:lvl>
    <w:lvl w:ilvl="8">
      <w:start w:val="1"/>
      <w:numFmt w:val="none"/>
      <w:lvlText w:val=""/>
      <w:lvlJc w:val="left"/>
      <w:pPr>
        <w:ind w:left="680" w:hanging="680"/>
      </w:pPr>
      <w:rPr>
        <w:rFonts w:hint="default"/>
      </w:rPr>
    </w:lvl>
  </w:abstractNum>
  <w:abstractNum w:abstractNumId="42" w15:restartNumberingAfterBreak="0">
    <w:nsid w:val="44D60C64"/>
    <w:multiLevelType w:val="multilevel"/>
    <w:tmpl w:val="D4A44AA8"/>
    <w:styleLink w:val="LLengage"/>
    <w:lvl w:ilvl="0">
      <w:start w:val="1"/>
      <w:numFmt w:val="decimal"/>
      <w:pStyle w:val="engageL1"/>
      <w:lvlText w:val="%1"/>
      <w:lvlJc w:val="left"/>
      <w:pPr>
        <w:tabs>
          <w:tab w:val="num" w:pos="567"/>
        </w:tabs>
        <w:ind w:left="567" w:hanging="567"/>
      </w:pPr>
      <w:rPr>
        <w:rFonts w:ascii="Arial" w:hAnsi="Arial" w:cs="Arial" w:hint="default"/>
        <w:b/>
        <w:i w:val="0"/>
        <w:sz w:val="13"/>
      </w:rPr>
    </w:lvl>
    <w:lvl w:ilvl="1">
      <w:start w:val="1"/>
      <w:numFmt w:val="decimal"/>
      <w:pStyle w:val="engageL2"/>
      <w:lvlText w:val="%1.%2"/>
      <w:lvlJc w:val="left"/>
      <w:pPr>
        <w:tabs>
          <w:tab w:val="num" w:pos="567"/>
        </w:tabs>
        <w:ind w:left="567" w:hanging="567"/>
      </w:pPr>
      <w:rPr>
        <w:rFonts w:hint="default"/>
        <w:b/>
        <w:i w:val="0"/>
        <w:sz w:val="13"/>
      </w:rPr>
    </w:lvl>
    <w:lvl w:ilvl="2">
      <w:start w:val="1"/>
      <w:numFmt w:val="none"/>
      <w:lvlRestart w:val="0"/>
      <w:lvlText w:val=""/>
      <w:lvlJc w:val="left"/>
      <w:pPr>
        <w:ind w:left="567" w:hanging="567"/>
      </w:pPr>
      <w:rPr>
        <w:rFonts w:hint="default"/>
      </w:rPr>
    </w:lvl>
    <w:lvl w:ilvl="3">
      <w:start w:val="1"/>
      <w:numFmt w:val="none"/>
      <w:lvlRestart w:val="0"/>
      <w:lvlText w:val=""/>
      <w:lvlJc w:val="left"/>
      <w:pPr>
        <w:ind w:left="567" w:hanging="567"/>
      </w:pPr>
      <w:rPr>
        <w:rFonts w:hint="default"/>
      </w:rPr>
    </w:lvl>
    <w:lvl w:ilvl="4">
      <w:start w:val="1"/>
      <w:numFmt w:val="none"/>
      <w:lvlRestart w:val="0"/>
      <w:lvlText w:val=""/>
      <w:lvlJc w:val="left"/>
      <w:pPr>
        <w:ind w:left="567" w:hanging="567"/>
      </w:pPr>
      <w:rPr>
        <w:rFonts w:hint="default"/>
      </w:rPr>
    </w:lvl>
    <w:lvl w:ilvl="5">
      <w:start w:val="1"/>
      <w:numFmt w:val="none"/>
      <w:lvlRestart w:val="0"/>
      <w:lvlText w:val=""/>
      <w:lvlJc w:val="left"/>
      <w:pPr>
        <w:ind w:left="567" w:hanging="567"/>
      </w:pPr>
      <w:rPr>
        <w:rFonts w:hint="default"/>
      </w:rPr>
    </w:lvl>
    <w:lvl w:ilvl="6">
      <w:start w:val="1"/>
      <w:numFmt w:val="none"/>
      <w:lvlRestart w:val="0"/>
      <w:lvlText w:val=""/>
      <w:lvlJc w:val="left"/>
      <w:pPr>
        <w:ind w:left="567" w:hanging="567"/>
      </w:pPr>
      <w:rPr>
        <w:rFonts w:hint="default"/>
      </w:rPr>
    </w:lvl>
    <w:lvl w:ilvl="7">
      <w:start w:val="1"/>
      <w:numFmt w:val="none"/>
      <w:lvlRestart w:val="0"/>
      <w:lvlText w:val=""/>
      <w:lvlJc w:val="left"/>
      <w:pPr>
        <w:ind w:left="567" w:hanging="567"/>
      </w:pPr>
      <w:rPr>
        <w:rFonts w:hint="default"/>
      </w:rPr>
    </w:lvl>
    <w:lvl w:ilvl="8">
      <w:start w:val="1"/>
      <w:numFmt w:val="none"/>
      <w:lvlRestart w:val="0"/>
      <w:lvlText w:val=""/>
      <w:lvlJc w:val="left"/>
      <w:pPr>
        <w:ind w:left="567" w:hanging="567"/>
      </w:pPr>
      <w:rPr>
        <w:rFonts w:hint="default"/>
      </w:rPr>
    </w:lvl>
  </w:abstractNum>
  <w:abstractNum w:abstractNumId="43" w15:restartNumberingAfterBreak="0">
    <w:nsid w:val="4C2A2ED0"/>
    <w:multiLevelType w:val="multilevel"/>
    <w:tmpl w:val="70248C04"/>
    <w:styleLink w:val="LLSchedule"/>
    <w:lvl w:ilvl="0">
      <w:start w:val="1"/>
      <w:numFmt w:val="decimal"/>
      <w:pStyle w:val="Schedule1"/>
      <w:lvlText w:val="%1"/>
      <w:lvlJc w:val="left"/>
      <w:pPr>
        <w:tabs>
          <w:tab w:val="num" w:pos="680"/>
        </w:tabs>
        <w:ind w:left="680" w:hanging="680"/>
      </w:pPr>
      <w:rPr>
        <w:rFonts w:hAnsi="Arial" w:cs="Times New Roman" w:hint="default"/>
        <w:b/>
        <w:i w:val="0"/>
        <w:sz w:val="22"/>
      </w:rPr>
    </w:lvl>
    <w:lvl w:ilvl="1">
      <w:start w:val="1"/>
      <w:numFmt w:val="decimal"/>
      <w:pStyle w:val="Schedule2"/>
      <w:lvlText w:val="%1.%2"/>
      <w:lvlJc w:val="left"/>
      <w:pPr>
        <w:tabs>
          <w:tab w:val="num" w:pos="680"/>
        </w:tabs>
        <w:ind w:left="680" w:hanging="680"/>
      </w:pPr>
      <w:rPr>
        <w:rFonts w:hint="default"/>
        <w:b/>
        <w:i w:val="0"/>
        <w:sz w:val="21"/>
      </w:rPr>
    </w:lvl>
    <w:lvl w:ilvl="2">
      <w:start w:val="1"/>
      <w:numFmt w:val="decimal"/>
      <w:pStyle w:val="Schedule3"/>
      <w:lvlText w:val="%1.%2.%3"/>
      <w:lvlJc w:val="left"/>
      <w:pPr>
        <w:tabs>
          <w:tab w:val="num" w:pos="1361"/>
        </w:tabs>
        <w:ind w:left="1361" w:hanging="681"/>
      </w:pPr>
      <w:rPr>
        <w:rFonts w:hint="default"/>
        <w:b/>
        <w:i w:val="0"/>
        <w:sz w:val="17"/>
      </w:rPr>
    </w:lvl>
    <w:lvl w:ilvl="3">
      <w:start w:val="1"/>
      <w:numFmt w:val="lowerRoman"/>
      <w:pStyle w:val="Schedule4"/>
      <w:lvlText w:val="(%4)"/>
      <w:lvlJc w:val="left"/>
      <w:pPr>
        <w:tabs>
          <w:tab w:val="num" w:pos="2041"/>
        </w:tabs>
        <w:ind w:left="2041" w:hanging="680"/>
      </w:pPr>
      <w:rPr>
        <w:rFonts w:hint="default"/>
      </w:rPr>
    </w:lvl>
    <w:lvl w:ilvl="4">
      <w:start w:val="1"/>
      <w:numFmt w:val="lowerLetter"/>
      <w:pStyle w:val="Schedule5"/>
      <w:lvlText w:val="(%5)"/>
      <w:lvlJc w:val="left"/>
      <w:pPr>
        <w:tabs>
          <w:tab w:val="num" w:pos="2722"/>
        </w:tabs>
        <w:ind w:left="2722" w:hanging="681"/>
      </w:pPr>
      <w:rPr>
        <w:rFonts w:hint="default"/>
      </w:rPr>
    </w:lvl>
    <w:lvl w:ilvl="5">
      <w:start w:val="1"/>
      <w:numFmt w:val="upperRoman"/>
      <w:pStyle w:val="Schedule6"/>
      <w:lvlText w:val="(%6)"/>
      <w:lvlJc w:val="left"/>
      <w:pPr>
        <w:tabs>
          <w:tab w:val="num" w:pos="3402"/>
        </w:tabs>
        <w:ind w:left="3402" w:hanging="680"/>
      </w:pPr>
      <w:rPr>
        <w:rFonts w:hint="default"/>
      </w:rPr>
    </w:lvl>
    <w:lvl w:ilvl="6">
      <w:start w:val="1"/>
      <w:numFmt w:val="none"/>
      <w:lvlRestart w:val="0"/>
      <w:lvlText w:val=""/>
      <w:lvlJc w:val="left"/>
      <w:pPr>
        <w:ind w:left="3402" w:hanging="680"/>
      </w:pPr>
      <w:rPr>
        <w:rFonts w:hint="default"/>
      </w:rPr>
    </w:lvl>
    <w:lvl w:ilvl="7">
      <w:start w:val="1"/>
      <w:numFmt w:val="none"/>
      <w:lvlRestart w:val="0"/>
      <w:lvlText w:val=""/>
      <w:lvlJc w:val="left"/>
      <w:pPr>
        <w:ind w:left="3402" w:hanging="680"/>
      </w:pPr>
      <w:rPr>
        <w:rFonts w:hint="default"/>
      </w:rPr>
    </w:lvl>
    <w:lvl w:ilvl="8">
      <w:start w:val="1"/>
      <w:numFmt w:val="none"/>
      <w:lvlRestart w:val="0"/>
      <w:lvlText w:val=""/>
      <w:lvlJc w:val="left"/>
      <w:pPr>
        <w:ind w:left="3402" w:hanging="680"/>
      </w:pPr>
      <w:rPr>
        <w:rFonts w:hint="default"/>
      </w:rPr>
    </w:lvl>
  </w:abstractNum>
  <w:abstractNum w:abstractNumId="44" w15:restartNumberingAfterBreak="0">
    <w:nsid w:val="4CFE68D7"/>
    <w:multiLevelType w:val="multilevel"/>
    <w:tmpl w:val="6B8A2852"/>
    <w:styleLink w:val="LLalpha"/>
    <w:lvl w:ilvl="0">
      <w:start w:val="1"/>
      <w:numFmt w:val="lowerLetter"/>
      <w:pStyle w:val="alpha1"/>
      <w:lvlText w:val="(%1)"/>
      <w:lvlJc w:val="left"/>
      <w:pPr>
        <w:tabs>
          <w:tab w:val="num" w:pos="680"/>
        </w:tabs>
        <w:ind w:left="680" w:hanging="680"/>
      </w:pPr>
      <w:rPr>
        <w:rFonts w:hAnsi="Arial" w:cs="Times New Roman" w:hint="default"/>
      </w:rPr>
    </w:lvl>
    <w:lvl w:ilvl="1">
      <w:start w:val="1"/>
      <w:numFmt w:val="lowerLetter"/>
      <w:pStyle w:val="alpha2"/>
      <w:lvlText w:val="(%2)"/>
      <w:lvlJc w:val="left"/>
      <w:pPr>
        <w:tabs>
          <w:tab w:val="num" w:pos="1360"/>
        </w:tabs>
        <w:ind w:left="1360" w:hanging="680"/>
      </w:pPr>
      <w:rPr>
        <w:rFonts w:hint="default"/>
      </w:rPr>
    </w:lvl>
    <w:lvl w:ilvl="2">
      <w:start w:val="1"/>
      <w:numFmt w:val="lowerLetter"/>
      <w:pStyle w:val="alpha3"/>
      <w:lvlText w:val="(%3)"/>
      <w:lvlJc w:val="left"/>
      <w:pPr>
        <w:tabs>
          <w:tab w:val="num" w:pos="2040"/>
        </w:tabs>
        <w:ind w:left="2040" w:hanging="680"/>
      </w:pPr>
      <w:rPr>
        <w:rFonts w:hint="default"/>
      </w:rPr>
    </w:lvl>
    <w:lvl w:ilvl="3">
      <w:start w:val="1"/>
      <w:numFmt w:val="lowerLetter"/>
      <w:pStyle w:val="alpha4"/>
      <w:lvlText w:val="(%4)"/>
      <w:lvlJc w:val="left"/>
      <w:pPr>
        <w:tabs>
          <w:tab w:val="num" w:pos="2722"/>
        </w:tabs>
        <w:ind w:left="2722" w:hanging="682"/>
      </w:pPr>
      <w:rPr>
        <w:rFonts w:hint="default"/>
      </w:rPr>
    </w:lvl>
    <w:lvl w:ilvl="4">
      <w:start w:val="1"/>
      <w:numFmt w:val="lowerLetter"/>
      <w:pStyle w:val="alpha5"/>
      <w:lvlText w:val="(%5)"/>
      <w:lvlJc w:val="left"/>
      <w:pPr>
        <w:tabs>
          <w:tab w:val="num" w:pos="3402"/>
        </w:tabs>
        <w:ind w:left="3402" w:hanging="680"/>
      </w:pPr>
      <w:rPr>
        <w:rFonts w:hint="default"/>
      </w:rPr>
    </w:lvl>
    <w:lvl w:ilvl="5">
      <w:start w:val="1"/>
      <w:numFmt w:val="lowerLetter"/>
      <w:pStyle w:val="alpha6"/>
      <w:lvlText w:val="(%6)"/>
      <w:lvlJc w:val="left"/>
      <w:pPr>
        <w:tabs>
          <w:tab w:val="num" w:pos="4082"/>
        </w:tabs>
        <w:ind w:left="4082" w:hanging="680"/>
      </w:pPr>
      <w:rPr>
        <w:rFonts w:hint="default"/>
      </w:rPr>
    </w:lvl>
    <w:lvl w:ilvl="6">
      <w:start w:val="1"/>
      <w:numFmt w:val="none"/>
      <w:lvlRestart w:val="0"/>
      <w:lvlText w:val=""/>
      <w:lvlJc w:val="left"/>
      <w:pPr>
        <w:ind w:left="4082" w:hanging="680"/>
      </w:pPr>
      <w:rPr>
        <w:rFonts w:hint="default"/>
      </w:rPr>
    </w:lvl>
    <w:lvl w:ilvl="7">
      <w:start w:val="1"/>
      <w:numFmt w:val="none"/>
      <w:lvlRestart w:val="0"/>
      <w:lvlText w:val=""/>
      <w:lvlJc w:val="left"/>
      <w:pPr>
        <w:ind w:left="4082" w:hanging="680"/>
      </w:pPr>
      <w:rPr>
        <w:rFonts w:hint="default"/>
      </w:rPr>
    </w:lvl>
    <w:lvl w:ilvl="8">
      <w:start w:val="1"/>
      <w:numFmt w:val="none"/>
      <w:lvlRestart w:val="0"/>
      <w:lvlText w:val=""/>
      <w:lvlJc w:val="left"/>
      <w:pPr>
        <w:ind w:left="4082" w:hanging="680"/>
      </w:pPr>
      <w:rPr>
        <w:rFonts w:hint="default"/>
      </w:rPr>
    </w:lvl>
  </w:abstractNum>
  <w:abstractNum w:abstractNumId="45" w15:restartNumberingAfterBreak="0">
    <w:nsid w:val="53C20CF1"/>
    <w:multiLevelType w:val="multilevel"/>
    <w:tmpl w:val="579ECC4A"/>
    <w:numStyleLink w:val="LLroman"/>
  </w:abstractNum>
  <w:abstractNum w:abstractNumId="46" w15:restartNumberingAfterBreak="0">
    <w:nsid w:val="54C56367"/>
    <w:multiLevelType w:val="multilevel"/>
    <w:tmpl w:val="9F565188"/>
    <w:styleLink w:val="LLTable"/>
    <w:lvl w:ilvl="0">
      <w:start w:val="1"/>
      <w:numFmt w:val="decimal"/>
      <w:pStyle w:val="Table1"/>
      <w:lvlText w:val="%1"/>
      <w:lvlJc w:val="left"/>
      <w:pPr>
        <w:tabs>
          <w:tab w:val="num" w:pos="680"/>
        </w:tabs>
        <w:ind w:left="680" w:hanging="680"/>
      </w:pPr>
      <w:rPr>
        <w:rFonts w:hAnsi="Arial" w:cs="Times New Roman" w:hint="default"/>
        <w:b/>
        <w:i w:val="0"/>
        <w:sz w:val="22"/>
      </w:rPr>
    </w:lvl>
    <w:lvl w:ilvl="1">
      <w:start w:val="1"/>
      <w:numFmt w:val="decimal"/>
      <w:pStyle w:val="Table2"/>
      <w:lvlText w:val="%1.%2"/>
      <w:lvlJc w:val="left"/>
      <w:pPr>
        <w:tabs>
          <w:tab w:val="num" w:pos="680"/>
        </w:tabs>
        <w:ind w:left="680" w:hanging="680"/>
      </w:pPr>
      <w:rPr>
        <w:rFonts w:hint="default"/>
        <w:b/>
        <w:i w:val="0"/>
        <w:sz w:val="21"/>
      </w:rPr>
    </w:lvl>
    <w:lvl w:ilvl="2">
      <w:start w:val="1"/>
      <w:numFmt w:val="decimal"/>
      <w:pStyle w:val="Table3"/>
      <w:lvlText w:val="%1.%2.%3"/>
      <w:lvlJc w:val="left"/>
      <w:pPr>
        <w:tabs>
          <w:tab w:val="num" w:pos="680"/>
        </w:tabs>
        <w:ind w:left="680" w:hanging="680"/>
      </w:pPr>
      <w:rPr>
        <w:rFonts w:hint="default"/>
        <w:b/>
        <w:i w:val="0"/>
        <w:sz w:val="17"/>
      </w:rPr>
    </w:lvl>
    <w:lvl w:ilvl="3">
      <w:start w:val="1"/>
      <w:numFmt w:val="lowerRoman"/>
      <w:pStyle w:val="Table4"/>
      <w:lvlText w:val="(%4)"/>
      <w:lvlJc w:val="left"/>
      <w:pPr>
        <w:tabs>
          <w:tab w:val="num" w:pos="680"/>
        </w:tabs>
        <w:ind w:left="680" w:hanging="680"/>
      </w:pPr>
      <w:rPr>
        <w:rFonts w:hint="default"/>
      </w:rPr>
    </w:lvl>
    <w:lvl w:ilvl="4">
      <w:start w:val="1"/>
      <w:numFmt w:val="lowerLetter"/>
      <w:pStyle w:val="Table5"/>
      <w:lvlText w:val="(%5)"/>
      <w:lvlJc w:val="left"/>
      <w:pPr>
        <w:tabs>
          <w:tab w:val="num" w:pos="680"/>
        </w:tabs>
        <w:ind w:left="680" w:hanging="680"/>
      </w:pPr>
      <w:rPr>
        <w:rFonts w:hint="default"/>
      </w:rPr>
    </w:lvl>
    <w:lvl w:ilvl="5">
      <w:start w:val="1"/>
      <w:numFmt w:val="upperRoman"/>
      <w:pStyle w:val="Table6"/>
      <w:lvlText w:val="(%6)"/>
      <w:lvlJc w:val="left"/>
      <w:pPr>
        <w:tabs>
          <w:tab w:val="num" w:pos="680"/>
        </w:tabs>
        <w:ind w:left="680" w:hanging="680"/>
      </w:pPr>
      <w:rPr>
        <w:rFonts w:hint="default"/>
      </w:rPr>
    </w:lvl>
    <w:lvl w:ilvl="6">
      <w:start w:val="1"/>
      <w:numFmt w:val="none"/>
      <w:lvlRestart w:val="0"/>
      <w:lvlText w:val=""/>
      <w:lvlJc w:val="left"/>
      <w:pPr>
        <w:ind w:left="680" w:hanging="680"/>
      </w:pPr>
      <w:rPr>
        <w:rFonts w:hint="default"/>
      </w:rPr>
    </w:lvl>
    <w:lvl w:ilvl="7">
      <w:start w:val="1"/>
      <w:numFmt w:val="none"/>
      <w:lvlRestart w:val="0"/>
      <w:lvlText w:val=""/>
      <w:lvlJc w:val="left"/>
      <w:pPr>
        <w:ind w:left="680" w:hanging="680"/>
      </w:pPr>
      <w:rPr>
        <w:rFonts w:hint="default"/>
      </w:rPr>
    </w:lvl>
    <w:lvl w:ilvl="8">
      <w:start w:val="1"/>
      <w:numFmt w:val="none"/>
      <w:lvlRestart w:val="0"/>
      <w:lvlText w:val=""/>
      <w:lvlJc w:val="left"/>
      <w:pPr>
        <w:ind w:left="680" w:hanging="680"/>
      </w:pPr>
      <w:rPr>
        <w:rFonts w:hint="default"/>
      </w:rPr>
    </w:lvl>
  </w:abstractNum>
  <w:abstractNum w:abstractNumId="47" w15:restartNumberingAfterBreak="0">
    <w:nsid w:val="56F71436"/>
    <w:multiLevelType w:val="multilevel"/>
    <w:tmpl w:val="383CCEC4"/>
    <w:numStyleLink w:val="LLdashbullet"/>
  </w:abstractNum>
  <w:abstractNum w:abstractNumId="48" w15:restartNumberingAfterBreak="0">
    <w:nsid w:val="5A7B7BFB"/>
    <w:multiLevelType w:val="hybridMultilevel"/>
    <w:tmpl w:val="92682166"/>
    <w:lvl w:ilvl="0" w:tplc="C0EEE58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9" w15:restartNumberingAfterBreak="0">
    <w:nsid w:val="5E547DDA"/>
    <w:multiLevelType w:val="multilevel"/>
    <w:tmpl w:val="C054F7D8"/>
    <w:numStyleLink w:val="LLTablebullet"/>
  </w:abstractNum>
  <w:abstractNum w:abstractNumId="50" w15:restartNumberingAfterBreak="0">
    <w:nsid w:val="5FBA1CD0"/>
    <w:multiLevelType w:val="multilevel"/>
    <w:tmpl w:val="0809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65860861"/>
    <w:multiLevelType w:val="multilevel"/>
    <w:tmpl w:val="BB16DBE8"/>
    <w:styleLink w:val="LLRecitals"/>
    <w:lvl w:ilvl="0">
      <w:start w:val="1"/>
      <w:numFmt w:val="upperLetter"/>
      <w:pStyle w:val="Recitals"/>
      <w:lvlText w:val="(%1)"/>
      <w:lvlJc w:val="left"/>
      <w:pPr>
        <w:tabs>
          <w:tab w:val="num" w:pos="680"/>
        </w:tabs>
        <w:ind w:left="680" w:hanging="680"/>
      </w:pPr>
      <w:rPr>
        <w:rFonts w:hAnsi="Arial" w:cs="Times New Roman" w:hint="default"/>
      </w:rPr>
    </w:lvl>
    <w:lvl w:ilvl="1">
      <w:start w:val="1"/>
      <w:numFmt w:val="none"/>
      <w:lvlRestart w:val="0"/>
      <w:lvlText w:val=""/>
      <w:lvlJc w:val="left"/>
      <w:pPr>
        <w:ind w:left="680" w:hanging="680"/>
      </w:pPr>
      <w:rPr>
        <w:rFonts w:hint="default"/>
      </w:rPr>
    </w:lvl>
    <w:lvl w:ilvl="2">
      <w:start w:val="1"/>
      <w:numFmt w:val="none"/>
      <w:lvlRestart w:val="0"/>
      <w:lvlText w:val=""/>
      <w:lvlJc w:val="left"/>
      <w:pPr>
        <w:ind w:left="680" w:hanging="680"/>
      </w:pPr>
      <w:rPr>
        <w:rFonts w:hint="default"/>
      </w:rPr>
    </w:lvl>
    <w:lvl w:ilvl="3">
      <w:start w:val="1"/>
      <w:numFmt w:val="none"/>
      <w:lvlRestart w:val="0"/>
      <w:lvlText w:val=""/>
      <w:lvlJc w:val="left"/>
      <w:pPr>
        <w:ind w:left="680" w:hanging="680"/>
      </w:pPr>
      <w:rPr>
        <w:rFonts w:hint="default"/>
      </w:rPr>
    </w:lvl>
    <w:lvl w:ilvl="4">
      <w:start w:val="1"/>
      <w:numFmt w:val="none"/>
      <w:lvlRestart w:val="0"/>
      <w:lvlText w:val=""/>
      <w:lvlJc w:val="left"/>
      <w:pPr>
        <w:ind w:left="680" w:hanging="680"/>
      </w:pPr>
      <w:rPr>
        <w:rFonts w:hint="default"/>
      </w:rPr>
    </w:lvl>
    <w:lvl w:ilvl="5">
      <w:start w:val="1"/>
      <w:numFmt w:val="none"/>
      <w:lvlRestart w:val="0"/>
      <w:lvlText w:val=""/>
      <w:lvlJc w:val="left"/>
      <w:pPr>
        <w:ind w:left="680" w:hanging="680"/>
      </w:pPr>
      <w:rPr>
        <w:rFonts w:hint="default"/>
      </w:rPr>
    </w:lvl>
    <w:lvl w:ilvl="6">
      <w:start w:val="1"/>
      <w:numFmt w:val="none"/>
      <w:lvlRestart w:val="0"/>
      <w:lvlText w:val=""/>
      <w:lvlJc w:val="left"/>
      <w:pPr>
        <w:ind w:left="680" w:hanging="680"/>
      </w:pPr>
      <w:rPr>
        <w:rFonts w:hint="default"/>
      </w:rPr>
    </w:lvl>
    <w:lvl w:ilvl="7">
      <w:start w:val="1"/>
      <w:numFmt w:val="none"/>
      <w:lvlRestart w:val="0"/>
      <w:lvlText w:val=""/>
      <w:lvlJc w:val="left"/>
      <w:pPr>
        <w:ind w:left="680" w:hanging="680"/>
      </w:pPr>
      <w:rPr>
        <w:rFonts w:hint="default"/>
      </w:rPr>
    </w:lvl>
    <w:lvl w:ilvl="8">
      <w:start w:val="1"/>
      <w:numFmt w:val="none"/>
      <w:lvlRestart w:val="0"/>
      <w:lvlText w:val=""/>
      <w:lvlJc w:val="left"/>
      <w:pPr>
        <w:ind w:left="680" w:hanging="680"/>
      </w:pPr>
      <w:rPr>
        <w:rFonts w:hint="default"/>
      </w:rPr>
    </w:lvl>
  </w:abstractNum>
  <w:abstractNum w:abstractNumId="52" w15:restartNumberingAfterBreak="0">
    <w:nsid w:val="67CA7F0E"/>
    <w:multiLevelType w:val="multilevel"/>
    <w:tmpl w:val="1A50ADB6"/>
    <w:name w:val="General"/>
    <w:lvl w:ilvl="0">
      <w:start w:val="1"/>
      <w:numFmt w:val="decimal"/>
      <w:pStyle w:val="General2L1"/>
      <w:isLgl/>
      <w:lvlText w:val="%1."/>
      <w:lvlJc w:val="left"/>
      <w:pPr>
        <w:tabs>
          <w:tab w:val="num" w:pos="720"/>
        </w:tabs>
        <w:ind w:left="720" w:hanging="720"/>
      </w:pPr>
      <w:rPr>
        <w:rFonts w:ascii="Times New Roman" w:hAnsi="Times New Roman" w:cs="Times New Roman" w:hint="default"/>
        <w:b w:val="0"/>
        <w:i w:val="0"/>
        <w:caps w:val="0"/>
        <w:strike w:val="0"/>
        <w:dstrike w:val="0"/>
        <w:vanish w:val="0"/>
        <w:color w:val="auto"/>
        <w:sz w:val="24"/>
        <w:u w:val="none"/>
        <w:vertAlign w:val="baseline"/>
      </w:rPr>
    </w:lvl>
    <w:lvl w:ilvl="1">
      <w:start w:val="1"/>
      <w:numFmt w:val="decimal"/>
      <w:pStyle w:val="General2L2"/>
      <w:isLgl/>
      <w:lvlText w:val="%1.%2"/>
      <w:lvlJc w:val="left"/>
      <w:pPr>
        <w:tabs>
          <w:tab w:val="num" w:pos="720"/>
        </w:tabs>
        <w:ind w:left="720" w:hanging="720"/>
      </w:pPr>
      <w:rPr>
        <w:rFonts w:ascii="Times New Roman" w:hAnsi="Times New Roman" w:cs="Times New Roman" w:hint="default"/>
        <w:b w:val="0"/>
        <w:i w:val="0"/>
        <w:caps w:val="0"/>
        <w:strike w:val="0"/>
        <w:dstrike w:val="0"/>
        <w:vanish w:val="0"/>
        <w:color w:val="auto"/>
        <w:sz w:val="24"/>
        <w:u w:val="none"/>
        <w:vertAlign w:val="baseline"/>
      </w:rPr>
    </w:lvl>
    <w:lvl w:ilvl="2">
      <w:start w:val="1"/>
      <w:numFmt w:val="lowerLetter"/>
      <w:pStyle w:val="General2L3"/>
      <w:lvlText w:val="(%3)"/>
      <w:lvlJc w:val="left"/>
      <w:pPr>
        <w:tabs>
          <w:tab w:val="num" w:pos="1440"/>
        </w:tabs>
        <w:ind w:left="1440" w:hanging="720"/>
      </w:pPr>
      <w:rPr>
        <w:rFonts w:ascii="Times New Roman" w:hAnsi="Times New Roman" w:cs="Times New Roman" w:hint="default"/>
        <w:b w:val="0"/>
        <w:i w:val="0"/>
        <w:caps w:val="0"/>
        <w:strike w:val="0"/>
        <w:dstrike w:val="0"/>
        <w:vanish w:val="0"/>
        <w:color w:val="auto"/>
        <w:sz w:val="24"/>
        <w:u w:val="none"/>
        <w:vertAlign w:val="baseline"/>
      </w:rPr>
    </w:lvl>
    <w:lvl w:ilvl="3">
      <w:start w:val="1"/>
      <w:numFmt w:val="lowerRoman"/>
      <w:pStyle w:val="General2L4"/>
      <w:lvlText w:val="(%4)"/>
      <w:lvlJc w:val="left"/>
      <w:pPr>
        <w:tabs>
          <w:tab w:val="num" w:pos="2160"/>
        </w:tabs>
        <w:ind w:left="2160" w:hanging="720"/>
      </w:pPr>
      <w:rPr>
        <w:rFonts w:ascii="Times New Roman" w:hAnsi="Times New Roman" w:cs="Times New Roman" w:hint="default"/>
        <w:b w:val="0"/>
        <w:i w:val="0"/>
        <w:caps w:val="0"/>
        <w:strike w:val="0"/>
        <w:dstrike w:val="0"/>
        <w:vanish w:val="0"/>
        <w:color w:val="auto"/>
        <w:sz w:val="24"/>
        <w:u w:val="none"/>
        <w:vertAlign w:val="baseline"/>
      </w:rPr>
    </w:lvl>
    <w:lvl w:ilvl="4">
      <w:start w:val="1"/>
      <w:numFmt w:val="upperLetter"/>
      <w:pStyle w:val="General2L5"/>
      <w:lvlText w:val="(%5)"/>
      <w:lvlJc w:val="left"/>
      <w:pPr>
        <w:tabs>
          <w:tab w:val="num" w:pos="2880"/>
        </w:tabs>
        <w:ind w:left="2880" w:hanging="720"/>
      </w:pPr>
      <w:rPr>
        <w:rFonts w:ascii="Times New Roman" w:hAnsi="Times New Roman" w:cs="Times New Roman" w:hint="default"/>
        <w:b w:val="0"/>
        <w:i w:val="0"/>
        <w:caps w:val="0"/>
        <w:strike w:val="0"/>
        <w:dstrike w:val="0"/>
        <w:vanish w:val="0"/>
        <w:color w:val="auto"/>
        <w:sz w:val="24"/>
        <w:u w:val="none"/>
        <w:vertAlign w:val="baseline"/>
      </w:rPr>
    </w:lvl>
    <w:lvl w:ilvl="5">
      <w:start w:val="1"/>
      <w:numFmt w:val="decimal"/>
      <w:pStyle w:val="General2L6"/>
      <w:lvlText w:val="(%6)"/>
      <w:lvlJc w:val="left"/>
      <w:pPr>
        <w:tabs>
          <w:tab w:val="num" w:pos="3600"/>
        </w:tabs>
        <w:ind w:left="3600" w:hanging="720"/>
      </w:pPr>
      <w:rPr>
        <w:rFonts w:ascii="Times New Roman" w:hAnsi="Times New Roman" w:cs="Times New Roman" w:hint="default"/>
        <w:b w:val="0"/>
        <w:i w:val="0"/>
        <w:caps w:val="0"/>
        <w:strike w:val="0"/>
        <w:dstrike w:val="0"/>
        <w:vanish w:val="0"/>
        <w:color w:val="auto"/>
        <w:sz w:val="24"/>
        <w:u w:val="none"/>
        <w:vertAlign w:val="baseline"/>
      </w:rPr>
    </w:lvl>
    <w:lvl w:ilvl="6">
      <w:start w:val="1"/>
      <w:numFmt w:val="none"/>
      <w:lvlRestart w:val="0"/>
      <w:pStyle w:val="General2L7"/>
      <w:suff w:val="nothing"/>
      <w:lvlText w:val=""/>
      <w:lvlJc w:val="left"/>
      <w:pPr>
        <w:ind w:left="0" w:firstLine="0"/>
      </w:pPr>
      <w:rPr>
        <w:rFonts w:ascii="Times New Roman" w:hAnsi="Times New Roman" w:cs="Times New Roman" w:hint="default"/>
        <w:b w:val="0"/>
        <w:i w:val="0"/>
        <w:caps w:val="0"/>
        <w:strike w:val="0"/>
        <w:dstrike w:val="0"/>
        <w:vanish w:val="0"/>
        <w:color w:val="auto"/>
        <w:sz w:val="24"/>
        <w:u w:val="none"/>
        <w:vertAlign w:val="baseline"/>
      </w:rPr>
    </w:lvl>
    <w:lvl w:ilvl="7">
      <w:start w:val="1"/>
      <w:numFmt w:val="none"/>
      <w:lvlRestart w:val="0"/>
      <w:pStyle w:val="General2L8"/>
      <w:suff w:val="nothing"/>
      <w:lvlText w:val=""/>
      <w:lvlJc w:val="left"/>
      <w:pPr>
        <w:ind w:left="0" w:firstLine="0"/>
      </w:pPr>
      <w:rPr>
        <w:rFonts w:ascii="Symbol" w:hAnsi="Symbol" w:hint="default"/>
        <w:b w:val="0"/>
        <w:i w:val="0"/>
        <w:caps w:val="0"/>
        <w:strike w:val="0"/>
        <w:dstrike w:val="0"/>
        <w:vanish w:val="0"/>
        <w:color w:val="auto"/>
        <w:sz w:val="24"/>
        <w:u w:val="none"/>
        <w:vertAlign w:val="baseline"/>
      </w:rPr>
    </w:lvl>
    <w:lvl w:ilvl="8">
      <w:start w:val="1"/>
      <w:numFmt w:val="none"/>
      <w:lvlRestart w:val="0"/>
      <w:pStyle w:val="General2L9"/>
      <w:suff w:val="nothing"/>
      <w:lvlText w:val=""/>
      <w:lvlJc w:val="left"/>
      <w:pPr>
        <w:ind w:left="0" w:firstLine="0"/>
      </w:pPr>
      <w:rPr>
        <w:rFonts w:ascii="Symbol" w:hAnsi="Symbol" w:hint="default"/>
        <w:b w:val="0"/>
        <w:i w:val="0"/>
        <w:caps w:val="0"/>
        <w:strike w:val="0"/>
        <w:dstrike w:val="0"/>
        <w:vanish w:val="0"/>
        <w:color w:val="auto"/>
        <w:sz w:val="24"/>
        <w:u w:val="none"/>
        <w:vertAlign w:val="baseline"/>
      </w:rPr>
    </w:lvl>
  </w:abstractNum>
  <w:abstractNum w:abstractNumId="53" w15:restartNumberingAfterBreak="0">
    <w:nsid w:val="6D8721FF"/>
    <w:multiLevelType w:val="multilevel"/>
    <w:tmpl w:val="FF669768"/>
    <w:numStyleLink w:val="LLTablealpha"/>
  </w:abstractNum>
  <w:abstractNum w:abstractNumId="54" w15:restartNumberingAfterBreak="0">
    <w:nsid w:val="720A2EA5"/>
    <w:multiLevelType w:val="multilevel"/>
    <w:tmpl w:val="CD34D7B6"/>
    <w:numStyleLink w:val="FormCOBody"/>
  </w:abstractNum>
  <w:abstractNum w:abstractNumId="55" w15:restartNumberingAfterBreak="0">
    <w:nsid w:val="73717529"/>
    <w:multiLevelType w:val="multilevel"/>
    <w:tmpl w:val="09BA6932"/>
    <w:styleLink w:val="LLbullet"/>
    <w:lvl w:ilvl="0">
      <w:start w:val="1"/>
      <w:numFmt w:val="bullet"/>
      <w:pStyle w:val="bullet1"/>
      <w:lvlText w:val=""/>
      <w:lvlJc w:val="left"/>
      <w:pPr>
        <w:tabs>
          <w:tab w:val="num" w:pos="680"/>
        </w:tabs>
        <w:ind w:left="680" w:hanging="680"/>
      </w:pPr>
      <w:rPr>
        <w:rFonts w:ascii="Symbol" w:hAnsi="Symbol" w:cs="Times New Roman" w:hint="default"/>
        <w:color w:val="auto"/>
      </w:rPr>
    </w:lvl>
    <w:lvl w:ilvl="1">
      <w:start w:val="1"/>
      <w:numFmt w:val="bullet"/>
      <w:lvlRestart w:val="0"/>
      <w:pStyle w:val="bullet2"/>
      <w:lvlText w:val=""/>
      <w:lvlJc w:val="left"/>
      <w:pPr>
        <w:tabs>
          <w:tab w:val="num" w:pos="1361"/>
        </w:tabs>
        <w:ind w:left="1361" w:hanging="681"/>
      </w:pPr>
      <w:rPr>
        <w:rFonts w:ascii="Symbol" w:hAnsi="Symbol" w:cs="Times New Roman" w:hint="default"/>
        <w:color w:val="auto"/>
      </w:rPr>
    </w:lvl>
    <w:lvl w:ilvl="2">
      <w:start w:val="1"/>
      <w:numFmt w:val="bullet"/>
      <w:lvlRestart w:val="0"/>
      <w:pStyle w:val="bullet3"/>
      <w:lvlText w:val=""/>
      <w:lvlJc w:val="left"/>
      <w:pPr>
        <w:tabs>
          <w:tab w:val="num" w:pos="2041"/>
        </w:tabs>
        <w:ind w:left="2041" w:hanging="680"/>
      </w:pPr>
      <w:rPr>
        <w:rFonts w:ascii="Symbol" w:hAnsi="Symbol" w:cs="Times New Roman" w:hint="default"/>
        <w:color w:val="auto"/>
      </w:rPr>
    </w:lvl>
    <w:lvl w:ilvl="3">
      <w:start w:val="1"/>
      <w:numFmt w:val="bullet"/>
      <w:lvlRestart w:val="0"/>
      <w:pStyle w:val="bullet4"/>
      <w:lvlText w:val=""/>
      <w:lvlJc w:val="left"/>
      <w:pPr>
        <w:tabs>
          <w:tab w:val="num" w:pos="2722"/>
        </w:tabs>
        <w:ind w:left="2722" w:hanging="681"/>
      </w:pPr>
      <w:rPr>
        <w:rFonts w:ascii="Symbol" w:hAnsi="Symbol" w:cs="Times New Roman" w:hint="default"/>
        <w:color w:val="auto"/>
      </w:rPr>
    </w:lvl>
    <w:lvl w:ilvl="4">
      <w:start w:val="1"/>
      <w:numFmt w:val="bullet"/>
      <w:lvlRestart w:val="0"/>
      <w:pStyle w:val="bullet5"/>
      <w:lvlText w:val=""/>
      <w:lvlJc w:val="left"/>
      <w:pPr>
        <w:tabs>
          <w:tab w:val="num" w:pos="3402"/>
        </w:tabs>
        <w:ind w:left="3402" w:hanging="680"/>
      </w:pPr>
      <w:rPr>
        <w:rFonts w:ascii="Symbol" w:hAnsi="Symbol" w:cs="Times New Roman" w:hint="default"/>
        <w:color w:val="auto"/>
      </w:rPr>
    </w:lvl>
    <w:lvl w:ilvl="5">
      <w:start w:val="1"/>
      <w:numFmt w:val="bullet"/>
      <w:lvlRestart w:val="0"/>
      <w:pStyle w:val="bullet6"/>
      <w:lvlText w:val=""/>
      <w:lvlJc w:val="left"/>
      <w:pPr>
        <w:tabs>
          <w:tab w:val="num" w:pos="4082"/>
        </w:tabs>
        <w:ind w:left="4082" w:hanging="680"/>
      </w:pPr>
      <w:rPr>
        <w:rFonts w:ascii="Symbol" w:hAnsi="Symbol" w:cs="Times New Roman" w:hint="default"/>
        <w:color w:val="auto"/>
      </w:rPr>
    </w:lvl>
    <w:lvl w:ilvl="6">
      <w:start w:val="1"/>
      <w:numFmt w:val="none"/>
      <w:lvlRestart w:val="0"/>
      <w:lvlText w:val=""/>
      <w:lvlJc w:val="left"/>
      <w:pPr>
        <w:ind w:left="4082" w:hanging="680"/>
      </w:pPr>
      <w:rPr>
        <w:rFonts w:hint="default"/>
      </w:rPr>
    </w:lvl>
    <w:lvl w:ilvl="7">
      <w:start w:val="1"/>
      <w:numFmt w:val="none"/>
      <w:lvlRestart w:val="0"/>
      <w:lvlText w:val=""/>
      <w:lvlJc w:val="left"/>
      <w:pPr>
        <w:ind w:left="4082" w:hanging="680"/>
      </w:pPr>
      <w:rPr>
        <w:rFonts w:hint="default"/>
      </w:rPr>
    </w:lvl>
    <w:lvl w:ilvl="8">
      <w:start w:val="1"/>
      <w:numFmt w:val="none"/>
      <w:lvlRestart w:val="0"/>
      <w:lvlText w:val=""/>
      <w:lvlJc w:val="left"/>
      <w:pPr>
        <w:ind w:left="4082" w:hanging="680"/>
      </w:pPr>
      <w:rPr>
        <w:rFonts w:hint="default"/>
      </w:rPr>
    </w:lvl>
  </w:abstractNum>
  <w:abstractNum w:abstractNumId="56" w15:restartNumberingAfterBreak="0">
    <w:nsid w:val="7C260529"/>
    <w:multiLevelType w:val="multilevel"/>
    <w:tmpl w:val="F49C9BD6"/>
    <w:numStyleLink w:val="LLUCRoman"/>
  </w:abstractNum>
  <w:num w:numId="1" w16cid:durableId="2124155313">
    <w:abstractNumId w:val="44"/>
  </w:num>
  <w:num w:numId="2" w16cid:durableId="201791422">
    <w:abstractNumId w:val="55"/>
  </w:num>
  <w:num w:numId="3" w16cid:durableId="1029643558">
    <w:abstractNumId w:val="38"/>
  </w:num>
  <w:num w:numId="4" w16cid:durableId="491139271">
    <w:abstractNumId w:val="30"/>
  </w:num>
  <w:num w:numId="5" w16cid:durableId="2053532903">
    <w:abstractNumId w:val="42"/>
  </w:num>
  <w:num w:numId="6" w16cid:durableId="362292099">
    <w:abstractNumId w:val="13"/>
  </w:num>
  <w:num w:numId="7" w16cid:durableId="1278679871">
    <w:abstractNumId w:val="35"/>
  </w:num>
  <w:num w:numId="8" w16cid:durableId="15155514">
    <w:abstractNumId w:val="25"/>
  </w:num>
  <w:num w:numId="9" w16cid:durableId="1136072248">
    <w:abstractNumId w:val="51"/>
  </w:num>
  <w:num w:numId="10" w16cid:durableId="1746803605">
    <w:abstractNumId w:val="21"/>
  </w:num>
  <w:num w:numId="11" w16cid:durableId="1235169158">
    <w:abstractNumId w:val="43"/>
  </w:num>
  <w:num w:numId="12" w16cid:durableId="1988892605">
    <w:abstractNumId w:val="19"/>
  </w:num>
  <w:num w:numId="13" w16cid:durableId="1870023120">
    <w:abstractNumId w:val="46"/>
  </w:num>
  <w:num w:numId="14" w16cid:durableId="388764998">
    <w:abstractNumId w:val="28"/>
  </w:num>
  <w:num w:numId="15" w16cid:durableId="1225339825">
    <w:abstractNumId w:val="11"/>
  </w:num>
  <w:num w:numId="16" w16cid:durableId="803156116">
    <w:abstractNumId w:val="41"/>
  </w:num>
  <w:num w:numId="17" w16cid:durableId="940181068">
    <w:abstractNumId w:val="39"/>
  </w:num>
  <w:num w:numId="18" w16cid:durableId="2130006117">
    <w:abstractNumId w:val="16"/>
  </w:num>
  <w:num w:numId="19" w16cid:durableId="1554151990">
    <w:abstractNumId w:val="27"/>
  </w:num>
  <w:num w:numId="20" w16cid:durableId="1516117043">
    <w:abstractNumId w:val="15"/>
    <w:lvlOverride w:ilvl="0">
      <w:lvl w:ilvl="0">
        <w:start w:val="1"/>
        <w:numFmt w:val="decimal"/>
        <w:pStyle w:val="Level1"/>
        <w:lvlText w:val="%1"/>
        <w:lvlJc w:val="left"/>
        <w:pPr>
          <w:tabs>
            <w:tab w:val="num" w:pos="1360"/>
          </w:tabs>
          <w:ind w:left="1360" w:hanging="680"/>
        </w:pPr>
        <w:rPr>
          <w:rFonts w:hAnsi="Arial" w:cs="Times New Roman" w:hint="default"/>
          <w:b/>
          <w:i w:val="0"/>
          <w:sz w:val="22"/>
        </w:rPr>
      </w:lvl>
    </w:lvlOverride>
    <w:lvlOverride w:ilvl="1">
      <w:lvl w:ilvl="1">
        <w:start w:val="1"/>
        <w:numFmt w:val="decimal"/>
        <w:pStyle w:val="Level2"/>
        <w:lvlText w:val="%1.%2"/>
        <w:lvlJc w:val="left"/>
        <w:pPr>
          <w:tabs>
            <w:tab w:val="num" w:pos="1360"/>
          </w:tabs>
          <w:ind w:left="1360" w:hanging="680"/>
        </w:pPr>
        <w:rPr>
          <w:rFonts w:hint="default"/>
          <w:b/>
          <w:i w:val="0"/>
          <w:sz w:val="21"/>
        </w:rPr>
      </w:lvl>
    </w:lvlOverride>
    <w:lvlOverride w:ilvl="2">
      <w:lvl w:ilvl="2">
        <w:start w:val="1"/>
        <w:numFmt w:val="decimal"/>
        <w:pStyle w:val="Level3"/>
        <w:lvlText w:val="%1.%2.%3"/>
        <w:lvlJc w:val="left"/>
        <w:pPr>
          <w:tabs>
            <w:tab w:val="num" w:pos="2041"/>
          </w:tabs>
          <w:ind w:left="2041" w:hanging="681"/>
        </w:pPr>
        <w:rPr>
          <w:rFonts w:hint="default"/>
          <w:b/>
          <w:i w:val="0"/>
          <w:sz w:val="17"/>
        </w:rPr>
      </w:lvl>
    </w:lvlOverride>
    <w:lvlOverride w:ilvl="3">
      <w:lvl w:ilvl="3">
        <w:start w:val="1"/>
        <w:numFmt w:val="lowerRoman"/>
        <w:pStyle w:val="Level4"/>
        <w:lvlText w:val="(%4)"/>
        <w:lvlJc w:val="left"/>
        <w:pPr>
          <w:tabs>
            <w:tab w:val="num" w:pos="2721"/>
          </w:tabs>
          <w:ind w:left="2721" w:hanging="680"/>
        </w:pPr>
        <w:rPr>
          <w:rFonts w:hint="default"/>
          <w:b w:val="0"/>
          <w:bCs w:val="0"/>
          <w:i w:val="0"/>
          <w:iCs w:val="0"/>
          <w:sz w:val="20"/>
        </w:rPr>
      </w:lvl>
    </w:lvlOverride>
    <w:lvlOverride w:ilvl="4">
      <w:lvl w:ilvl="4">
        <w:start w:val="1"/>
        <w:numFmt w:val="lowerLetter"/>
        <w:pStyle w:val="Level5"/>
        <w:lvlText w:val="(%5)"/>
        <w:lvlJc w:val="left"/>
        <w:pPr>
          <w:tabs>
            <w:tab w:val="num" w:pos="3402"/>
          </w:tabs>
          <w:ind w:left="3402" w:hanging="681"/>
        </w:pPr>
        <w:rPr>
          <w:rFonts w:hint="default"/>
          <w:b w:val="0"/>
          <w:bCs w:val="0"/>
          <w:i w:val="0"/>
          <w:iCs w:val="0"/>
          <w:sz w:val="20"/>
        </w:rPr>
      </w:lvl>
    </w:lvlOverride>
    <w:lvlOverride w:ilvl="5">
      <w:lvl w:ilvl="5">
        <w:start w:val="1"/>
        <w:numFmt w:val="upperRoman"/>
        <w:pStyle w:val="Level6"/>
        <w:lvlText w:val="(%6)"/>
        <w:lvlJc w:val="left"/>
        <w:pPr>
          <w:tabs>
            <w:tab w:val="num" w:pos="4082"/>
          </w:tabs>
          <w:ind w:left="4082" w:hanging="680"/>
        </w:pPr>
        <w:rPr>
          <w:rFonts w:hint="default"/>
          <w:sz w:val="20"/>
        </w:rPr>
      </w:lvl>
    </w:lvlOverride>
    <w:lvlOverride w:ilvl="6">
      <w:lvl w:ilvl="6">
        <w:start w:val="1"/>
        <w:numFmt w:val="none"/>
        <w:pStyle w:val="Level7"/>
        <w:lvlText w:val=""/>
        <w:lvlJc w:val="left"/>
        <w:pPr>
          <w:tabs>
            <w:tab w:val="num" w:pos="4082"/>
          </w:tabs>
          <w:ind w:left="4082" w:hanging="680"/>
        </w:pPr>
        <w:rPr>
          <w:rFonts w:hint="default"/>
        </w:rPr>
      </w:lvl>
    </w:lvlOverride>
    <w:lvlOverride w:ilvl="7">
      <w:lvl w:ilvl="7">
        <w:start w:val="1"/>
        <w:numFmt w:val="none"/>
        <w:pStyle w:val="Level8"/>
        <w:lvlText w:val=""/>
        <w:lvlJc w:val="left"/>
        <w:pPr>
          <w:tabs>
            <w:tab w:val="num" w:pos="4082"/>
          </w:tabs>
          <w:ind w:left="4082" w:hanging="680"/>
        </w:pPr>
        <w:rPr>
          <w:rFonts w:hint="default"/>
        </w:rPr>
      </w:lvl>
    </w:lvlOverride>
    <w:lvlOverride w:ilvl="8">
      <w:lvl w:ilvl="8">
        <w:start w:val="1"/>
        <w:numFmt w:val="none"/>
        <w:pStyle w:val="Level9"/>
        <w:lvlText w:val=""/>
        <w:lvlJc w:val="left"/>
        <w:pPr>
          <w:tabs>
            <w:tab w:val="num" w:pos="4082"/>
          </w:tabs>
          <w:ind w:left="4082" w:hanging="680"/>
        </w:pPr>
        <w:rPr>
          <w:rFonts w:hint="default"/>
        </w:rPr>
      </w:lvl>
    </w:lvlOverride>
  </w:num>
  <w:num w:numId="21" w16cid:durableId="22051559">
    <w:abstractNumId w:val="49"/>
  </w:num>
  <w:num w:numId="22" w16cid:durableId="1614704698">
    <w:abstractNumId w:val="9"/>
  </w:num>
  <w:num w:numId="23" w16cid:durableId="1893734225">
    <w:abstractNumId w:val="7"/>
  </w:num>
  <w:num w:numId="24" w16cid:durableId="102724162">
    <w:abstractNumId w:val="6"/>
  </w:num>
  <w:num w:numId="25" w16cid:durableId="359014711">
    <w:abstractNumId w:val="5"/>
  </w:num>
  <w:num w:numId="26" w16cid:durableId="794373844">
    <w:abstractNumId w:val="4"/>
  </w:num>
  <w:num w:numId="27" w16cid:durableId="1541045887">
    <w:abstractNumId w:val="8"/>
  </w:num>
  <w:num w:numId="28" w16cid:durableId="1762413652">
    <w:abstractNumId w:val="3"/>
  </w:num>
  <w:num w:numId="29" w16cid:durableId="2127918217">
    <w:abstractNumId w:val="2"/>
  </w:num>
  <w:num w:numId="30" w16cid:durableId="863596412">
    <w:abstractNumId w:val="1"/>
  </w:num>
  <w:num w:numId="31" w16cid:durableId="658388448">
    <w:abstractNumId w:val="0"/>
  </w:num>
  <w:num w:numId="32" w16cid:durableId="2138523803">
    <w:abstractNumId w:val="50"/>
  </w:num>
  <w:num w:numId="33" w16cid:durableId="468715928">
    <w:abstractNumId w:val="23"/>
  </w:num>
  <w:num w:numId="34" w16cid:durableId="1996494526">
    <w:abstractNumId w:val="32"/>
  </w:num>
  <w:num w:numId="35" w16cid:durableId="33430497">
    <w:abstractNumId w:val="26"/>
  </w:num>
  <w:num w:numId="36" w16cid:durableId="1850682955">
    <w:abstractNumId w:val="34"/>
  </w:num>
  <w:num w:numId="37" w16cid:durableId="780340468">
    <w:abstractNumId w:val="54"/>
  </w:num>
  <w:num w:numId="38" w16cid:durableId="329527544">
    <w:abstractNumId w:val="17"/>
  </w:num>
  <w:num w:numId="39" w16cid:durableId="675379763">
    <w:abstractNumId w:val="47"/>
  </w:num>
  <w:num w:numId="40" w16cid:durableId="697897634">
    <w:abstractNumId w:val="24"/>
  </w:num>
  <w:num w:numId="41" w16cid:durableId="1676960431">
    <w:abstractNumId w:val="36"/>
  </w:num>
  <w:num w:numId="42" w16cid:durableId="543370675">
    <w:abstractNumId w:val="40"/>
  </w:num>
  <w:num w:numId="43" w16cid:durableId="91292351">
    <w:abstractNumId w:val="14"/>
  </w:num>
  <w:num w:numId="44" w16cid:durableId="36975992">
    <w:abstractNumId w:val="29"/>
  </w:num>
  <w:num w:numId="45" w16cid:durableId="151339631">
    <w:abstractNumId w:val="10"/>
  </w:num>
  <w:num w:numId="46" w16cid:durableId="240994041">
    <w:abstractNumId w:val="45"/>
  </w:num>
  <w:num w:numId="47" w16cid:durableId="1139879075">
    <w:abstractNumId w:val="12"/>
  </w:num>
  <w:num w:numId="48" w16cid:durableId="1925718795">
    <w:abstractNumId w:val="22"/>
  </w:num>
  <w:num w:numId="49" w16cid:durableId="1077945916">
    <w:abstractNumId w:val="18"/>
  </w:num>
  <w:num w:numId="50" w16cid:durableId="2051412916">
    <w:abstractNumId w:val="20"/>
  </w:num>
  <w:num w:numId="51" w16cid:durableId="986784608">
    <w:abstractNumId w:val="53"/>
  </w:num>
  <w:num w:numId="52" w16cid:durableId="465438783">
    <w:abstractNumId w:val="31"/>
  </w:num>
  <w:num w:numId="53" w16cid:durableId="1698655172">
    <w:abstractNumId w:val="37"/>
  </w:num>
  <w:num w:numId="54" w16cid:durableId="2116748225">
    <w:abstractNumId w:val="56"/>
  </w:num>
  <w:num w:numId="55" w16cid:durableId="1333684616">
    <w:abstractNumId w:val="48"/>
  </w:num>
  <w:num w:numId="56" w16cid:durableId="1582718573">
    <w:abstractNumId w:val="15"/>
    <w:lvlOverride w:ilvl="0">
      <w:startOverride w:val="1"/>
      <w:lvl w:ilvl="0">
        <w:start w:val="1"/>
        <w:numFmt w:val="decimal"/>
        <w:pStyle w:val="Level1"/>
        <w:lvlText w:val="%1"/>
        <w:lvlJc w:val="left"/>
        <w:pPr>
          <w:tabs>
            <w:tab w:val="num" w:pos="680"/>
          </w:tabs>
          <w:ind w:left="680" w:hanging="680"/>
        </w:pPr>
        <w:rPr>
          <w:rFonts w:hAnsi="Arial" w:cs="Times New Roman" w:hint="default"/>
          <w:b/>
          <w:i w:val="0"/>
          <w:sz w:val="22"/>
        </w:rPr>
      </w:lvl>
    </w:lvlOverride>
    <w:lvlOverride w:ilvl="1">
      <w:startOverride w:val="1"/>
      <w:lvl w:ilvl="1">
        <w:start w:val="1"/>
        <w:numFmt w:val="decimal"/>
        <w:pStyle w:val="Level2"/>
        <w:lvlText w:val="%1.%2"/>
        <w:lvlJc w:val="left"/>
        <w:pPr>
          <w:tabs>
            <w:tab w:val="num" w:pos="680"/>
          </w:tabs>
          <w:ind w:left="680" w:hanging="680"/>
        </w:pPr>
        <w:rPr>
          <w:rFonts w:hint="default"/>
          <w:b/>
          <w:i w:val="0"/>
          <w:sz w:val="21"/>
        </w:rPr>
      </w:lvl>
    </w:lvlOverride>
    <w:lvlOverride w:ilvl="2">
      <w:startOverride w:val="1"/>
      <w:lvl w:ilvl="2">
        <w:start w:val="1"/>
        <w:numFmt w:val="decimal"/>
        <w:pStyle w:val="Level3"/>
        <w:lvlText w:val="%1.%2.%3"/>
        <w:lvlJc w:val="left"/>
        <w:pPr>
          <w:tabs>
            <w:tab w:val="num" w:pos="1361"/>
          </w:tabs>
          <w:ind w:left="1361" w:hanging="681"/>
        </w:pPr>
        <w:rPr>
          <w:rFonts w:hint="default"/>
          <w:b/>
          <w:i w:val="0"/>
          <w:sz w:val="17"/>
        </w:rPr>
      </w:lvl>
    </w:lvlOverride>
    <w:lvlOverride w:ilvl="3">
      <w:startOverride w:val="1"/>
      <w:lvl w:ilvl="3">
        <w:start w:val="1"/>
        <w:numFmt w:val="lowerRoman"/>
        <w:pStyle w:val="Level4"/>
        <w:lvlText w:val="(%4)"/>
        <w:lvlJc w:val="left"/>
        <w:pPr>
          <w:tabs>
            <w:tab w:val="num" w:pos="2041"/>
          </w:tabs>
          <w:ind w:left="2041" w:hanging="680"/>
        </w:pPr>
        <w:rPr>
          <w:rFonts w:hint="default"/>
          <w:sz w:val="20"/>
        </w:rPr>
      </w:lvl>
    </w:lvlOverride>
    <w:lvlOverride w:ilvl="4">
      <w:startOverride w:val="1"/>
      <w:lvl w:ilvl="4">
        <w:start w:val="1"/>
        <w:numFmt w:val="lowerLetter"/>
        <w:pStyle w:val="Level5"/>
        <w:lvlText w:val="(%5)"/>
        <w:lvlJc w:val="left"/>
        <w:pPr>
          <w:tabs>
            <w:tab w:val="num" w:pos="2722"/>
          </w:tabs>
          <w:ind w:left="2722" w:hanging="681"/>
        </w:pPr>
        <w:rPr>
          <w:rFonts w:hint="default"/>
          <w:sz w:val="20"/>
        </w:rPr>
      </w:lvl>
    </w:lvlOverride>
    <w:lvlOverride w:ilvl="5">
      <w:startOverride w:val="1"/>
      <w:lvl w:ilvl="5">
        <w:start w:val="1"/>
        <w:numFmt w:val="upperRoman"/>
        <w:pStyle w:val="Level6"/>
        <w:lvlText w:val="(%6)"/>
        <w:lvlJc w:val="left"/>
        <w:pPr>
          <w:tabs>
            <w:tab w:val="num" w:pos="3402"/>
          </w:tabs>
          <w:ind w:left="3402" w:hanging="680"/>
        </w:pPr>
        <w:rPr>
          <w:rFonts w:hint="default"/>
          <w:sz w:val="20"/>
        </w:rPr>
      </w:lvl>
    </w:lvlOverride>
    <w:lvlOverride w:ilvl="6">
      <w:startOverride w:val="1"/>
      <w:lvl w:ilvl="6">
        <w:start w:val="1"/>
        <w:numFmt w:val="none"/>
        <w:pStyle w:val="Level7"/>
        <w:lvlText w:val=""/>
        <w:lvlJc w:val="left"/>
        <w:pPr>
          <w:tabs>
            <w:tab w:val="num" w:pos="3402"/>
          </w:tabs>
          <w:ind w:left="3402" w:hanging="680"/>
        </w:pPr>
        <w:rPr>
          <w:rFonts w:hint="default"/>
        </w:rPr>
      </w:lvl>
    </w:lvlOverride>
    <w:lvlOverride w:ilvl="7">
      <w:startOverride w:val="1"/>
      <w:lvl w:ilvl="7">
        <w:start w:val="1"/>
        <w:numFmt w:val="none"/>
        <w:pStyle w:val="Level8"/>
        <w:lvlText w:val=""/>
        <w:lvlJc w:val="left"/>
        <w:pPr>
          <w:tabs>
            <w:tab w:val="num" w:pos="3402"/>
          </w:tabs>
          <w:ind w:left="3402" w:hanging="680"/>
        </w:pPr>
        <w:rPr>
          <w:rFonts w:hint="default"/>
        </w:rPr>
      </w:lvl>
    </w:lvlOverride>
    <w:lvlOverride w:ilvl="8">
      <w:startOverride w:val="1"/>
      <w:lvl w:ilvl="8">
        <w:start w:val="1"/>
        <w:numFmt w:val="none"/>
        <w:pStyle w:val="Level9"/>
        <w:lvlText w:val=""/>
        <w:lvlJc w:val="left"/>
        <w:pPr>
          <w:tabs>
            <w:tab w:val="num" w:pos="3402"/>
          </w:tabs>
          <w:ind w:left="3402" w:hanging="680"/>
        </w:pPr>
        <w:rPr>
          <w:rFonts w:hint="default"/>
        </w:rPr>
      </w:lvl>
    </w:lvlOverride>
  </w:num>
  <w:num w:numId="57" w16cid:durableId="1954053466">
    <w:abstractNumId w:val="15"/>
    <w:lvlOverride w:ilvl="0">
      <w:startOverride w:val="15"/>
      <w:lvl w:ilvl="0">
        <w:start w:val="15"/>
        <w:numFmt w:val="decimal"/>
        <w:pStyle w:val="Level1"/>
        <w:lvlText w:val="%1"/>
        <w:lvlJc w:val="left"/>
        <w:pPr>
          <w:tabs>
            <w:tab w:val="num" w:pos="680"/>
          </w:tabs>
          <w:ind w:left="680" w:hanging="680"/>
        </w:pPr>
        <w:rPr>
          <w:rFonts w:hAnsi="Arial" w:cs="Times New Roman" w:hint="default"/>
          <w:b/>
          <w:i w:val="0"/>
          <w:sz w:val="22"/>
        </w:rPr>
      </w:lvl>
    </w:lvlOverride>
    <w:lvlOverride w:ilvl="1">
      <w:startOverride w:val="2"/>
      <w:lvl w:ilvl="1">
        <w:start w:val="2"/>
        <w:numFmt w:val="decimal"/>
        <w:pStyle w:val="Level2"/>
        <w:lvlText w:val="%1.%2"/>
        <w:lvlJc w:val="left"/>
        <w:pPr>
          <w:tabs>
            <w:tab w:val="num" w:pos="680"/>
          </w:tabs>
          <w:ind w:left="680" w:hanging="680"/>
        </w:pPr>
        <w:rPr>
          <w:rFonts w:hint="default"/>
          <w:b/>
          <w:i w:val="0"/>
          <w:sz w:val="21"/>
        </w:rPr>
      </w:lvl>
    </w:lvlOverride>
    <w:lvlOverride w:ilvl="2">
      <w:startOverride w:val="1"/>
      <w:lvl w:ilvl="2">
        <w:start w:val="1"/>
        <w:numFmt w:val="decimal"/>
        <w:pStyle w:val="Level3"/>
        <w:lvlText w:val="%1.%2.%3"/>
        <w:lvlJc w:val="left"/>
        <w:pPr>
          <w:tabs>
            <w:tab w:val="num" w:pos="1361"/>
          </w:tabs>
          <w:ind w:left="1361" w:hanging="681"/>
        </w:pPr>
        <w:rPr>
          <w:rFonts w:hint="default"/>
          <w:b/>
          <w:i w:val="0"/>
          <w:sz w:val="17"/>
        </w:rPr>
      </w:lvl>
    </w:lvlOverride>
    <w:lvlOverride w:ilvl="3">
      <w:startOverride w:val="1"/>
      <w:lvl w:ilvl="3">
        <w:start w:val="1"/>
        <w:numFmt w:val="lowerRoman"/>
        <w:pStyle w:val="Level4"/>
        <w:lvlText w:val="(%4)"/>
        <w:lvlJc w:val="left"/>
        <w:pPr>
          <w:tabs>
            <w:tab w:val="num" w:pos="2041"/>
          </w:tabs>
          <w:ind w:left="2041" w:hanging="680"/>
        </w:pPr>
        <w:rPr>
          <w:rFonts w:hint="default"/>
          <w:sz w:val="20"/>
        </w:rPr>
      </w:lvl>
    </w:lvlOverride>
    <w:lvlOverride w:ilvl="4">
      <w:startOverride w:val="1"/>
      <w:lvl w:ilvl="4">
        <w:start w:val="1"/>
        <w:numFmt w:val="lowerLetter"/>
        <w:pStyle w:val="Level5"/>
        <w:lvlText w:val="(%5)"/>
        <w:lvlJc w:val="left"/>
        <w:pPr>
          <w:tabs>
            <w:tab w:val="num" w:pos="2722"/>
          </w:tabs>
          <w:ind w:left="2722" w:hanging="681"/>
        </w:pPr>
        <w:rPr>
          <w:rFonts w:hint="default"/>
          <w:b w:val="0"/>
          <w:bCs w:val="0"/>
          <w:i w:val="0"/>
          <w:iCs w:val="0"/>
          <w:sz w:val="20"/>
        </w:rPr>
      </w:lvl>
    </w:lvlOverride>
    <w:lvlOverride w:ilvl="5">
      <w:startOverride w:val="1"/>
      <w:lvl w:ilvl="5">
        <w:start w:val="1"/>
        <w:numFmt w:val="upperRoman"/>
        <w:pStyle w:val="Level6"/>
        <w:lvlText w:val="(%6)"/>
        <w:lvlJc w:val="left"/>
        <w:pPr>
          <w:tabs>
            <w:tab w:val="num" w:pos="3402"/>
          </w:tabs>
          <w:ind w:left="3402" w:hanging="680"/>
        </w:pPr>
        <w:rPr>
          <w:rFonts w:hint="default"/>
          <w:sz w:val="20"/>
        </w:rPr>
      </w:lvl>
    </w:lvlOverride>
    <w:lvlOverride w:ilvl="6">
      <w:startOverride w:val="1"/>
      <w:lvl w:ilvl="6">
        <w:start w:val="1"/>
        <w:numFmt w:val="none"/>
        <w:pStyle w:val="Level7"/>
        <w:lvlText w:val=""/>
        <w:lvlJc w:val="left"/>
        <w:pPr>
          <w:tabs>
            <w:tab w:val="num" w:pos="3402"/>
          </w:tabs>
          <w:ind w:left="3402" w:hanging="680"/>
        </w:pPr>
        <w:rPr>
          <w:rFonts w:hint="default"/>
        </w:rPr>
      </w:lvl>
    </w:lvlOverride>
    <w:lvlOverride w:ilvl="7">
      <w:startOverride w:val="1"/>
      <w:lvl w:ilvl="7">
        <w:start w:val="1"/>
        <w:numFmt w:val="none"/>
        <w:pStyle w:val="Level8"/>
        <w:lvlText w:val=""/>
        <w:lvlJc w:val="left"/>
        <w:pPr>
          <w:tabs>
            <w:tab w:val="num" w:pos="3402"/>
          </w:tabs>
          <w:ind w:left="3402" w:hanging="680"/>
        </w:pPr>
        <w:rPr>
          <w:rFonts w:hint="default"/>
        </w:rPr>
      </w:lvl>
    </w:lvlOverride>
    <w:lvlOverride w:ilvl="8">
      <w:startOverride w:val="1"/>
      <w:lvl w:ilvl="8">
        <w:start w:val="1"/>
        <w:numFmt w:val="none"/>
        <w:pStyle w:val="Level9"/>
        <w:lvlText w:val=""/>
        <w:lvlJc w:val="left"/>
        <w:pPr>
          <w:tabs>
            <w:tab w:val="num" w:pos="3402"/>
          </w:tabs>
          <w:ind w:left="3402" w:hanging="680"/>
        </w:pPr>
        <w:rPr>
          <w:rFonts w:hint="default"/>
        </w:rPr>
      </w:lvl>
    </w:lvlOverride>
  </w:num>
  <w:num w:numId="58" w16cid:durableId="1676153913">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16cid:durableId="197132301">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16cid:durableId="1575120963">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1869367170">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16cid:durableId="571699701">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16cid:durableId="743337912">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16cid:durableId="1092698308">
    <w:abstractNumId w:val="12"/>
    <w:lvlOverride w:ilvl="0">
      <w:startOverride w:val="1"/>
      <w:lvl w:ilvl="0">
        <w:start w:val="1"/>
        <w:numFmt w:val="decimal"/>
        <w:pStyle w:val="Schedule1"/>
        <w:lvlText w:val="%1"/>
        <w:lvlJc w:val="left"/>
        <w:pPr>
          <w:tabs>
            <w:tab w:val="num" w:pos="680"/>
          </w:tabs>
          <w:ind w:left="680" w:hanging="680"/>
        </w:pPr>
        <w:rPr>
          <w:rFonts w:hAnsi="Arial" w:cs="Times New Roman" w:hint="default"/>
          <w:b/>
          <w:bCs/>
          <w:i w:val="0"/>
          <w:sz w:val="22"/>
        </w:rPr>
      </w:lvl>
    </w:lvlOverride>
    <w:lvlOverride w:ilvl="1">
      <w:startOverride w:val="1"/>
      <w:lvl w:ilvl="1">
        <w:start w:val="1"/>
        <w:numFmt w:val="decimal"/>
        <w:pStyle w:val="Schedule2"/>
        <w:lvlText w:val=""/>
        <w:lvlJc w:val="left"/>
      </w:lvl>
    </w:lvlOverride>
    <w:lvlOverride w:ilvl="2">
      <w:startOverride w:val="1"/>
      <w:lvl w:ilvl="2">
        <w:start w:val="1"/>
        <w:numFmt w:val="decimal"/>
        <w:pStyle w:val="Schedule3"/>
        <w:lvlText w:val=""/>
        <w:lvlJc w:val="left"/>
      </w:lvl>
    </w:lvlOverride>
    <w:lvlOverride w:ilvl="3">
      <w:startOverride w:val="1"/>
      <w:lvl w:ilvl="3">
        <w:start w:val="1"/>
        <w:numFmt w:val="decimal"/>
        <w:pStyle w:val="Schedule4"/>
        <w:lvlText w:val=""/>
        <w:lvlJc w:val="left"/>
      </w:lvl>
    </w:lvlOverride>
    <w:lvlOverride w:ilvl="4">
      <w:startOverride w:val="1"/>
      <w:lvl w:ilvl="4">
        <w:start w:val="1"/>
        <w:numFmt w:val="decimal"/>
        <w:pStyle w:val="Schedule5"/>
        <w:lvlText w:val=""/>
        <w:lvlJc w:val="left"/>
      </w:lvl>
    </w:lvlOverride>
    <w:lvlOverride w:ilvl="5">
      <w:startOverride w:val="1"/>
      <w:lvl w:ilvl="5">
        <w:start w:val="1"/>
        <w:numFmt w:val="decimal"/>
        <w:pStyle w:val="Schedule6"/>
        <w:lvlText w:val=""/>
        <w:lvlJc w:val="left"/>
      </w:lvl>
    </w:lvlOverride>
    <w:lvlOverride w:ilvl="6">
      <w:startOverride w:val="1"/>
      <w:lvl w:ilvl="6">
        <w:start w:val="1"/>
        <w:numFmt w:val="decimal"/>
        <w:lvlText w:val=""/>
        <w:lvlJc w:val="left"/>
      </w:lvl>
    </w:lvlOverride>
  </w:num>
  <w:num w:numId="65" w16cid:durableId="887300328">
    <w:abstractNumId w:val="15"/>
    <w:lvlOverride w:ilvl="0">
      <w:lvl w:ilvl="0">
        <w:start w:val="1"/>
        <w:numFmt w:val="decimal"/>
        <w:pStyle w:val="Level1"/>
        <w:lvlText w:val="%1"/>
        <w:lvlJc w:val="left"/>
        <w:pPr>
          <w:tabs>
            <w:tab w:val="num" w:pos="680"/>
          </w:tabs>
          <w:ind w:left="680" w:hanging="680"/>
        </w:pPr>
        <w:rPr>
          <w:rFonts w:hAnsi="Arial" w:cs="Times New Roman"/>
          <w:b/>
          <w:i w:val="0"/>
          <w:sz w:val="22"/>
        </w:rPr>
      </w:lvl>
    </w:lvlOverride>
    <w:lvlOverride w:ilvl="1">
      <w:lvl w:ilvl="1">
        <w:start w:val="1"/>
        <w:numFmt w:val="decimal"/>
        <w:pStyle w:val="Level2"/>
        <w:lvlText w:val="%1.%2"/>
        <w:lvlJc w:val="left"/>
        <w:pPr>
          <w:tabs>
            <w:tab w:val="num" w:pos="680"/>
          </w:tabs>
          <w:ind w:left="680" w:hanging="680"/>
        </w:pPr>
        <w:rPr>
          <w:b/>
          <w:i w:val="0"/>
          <w:sz w:val="21"/>
        </w:rPr>
      </w:lvl>
    </w:lvlOverride>
    <w:lvlOverride w:ilvl="2">
      <w:lvl w:ilvl="2">
        <w:start w:val="1"/>
        <w:numFmt w:val="decimal"/>
        <w:pStyle w:val="Level3"/>
        <w:lvlText w:val="%1.%2.%3"/>
        <w:lvlJc w:val="left"/>
        <w:pPr>
          <w:tabs>
            <w:tab w:val="num" w:pos="1361"/>
          </w:tabs>
          <w:ind w:left="1361" w:hanging="681"/>
        </w:pPr>
        <w:rPr>
          <w:b/>
          <w:i w:val="0"/>
          <w:sz w:val="17"/>
        </w:rPr>
      </w:lvl>
    </w:lvlOverride>
    <w:lvlOverride w:ilvl="3">
      <w:lvl w:ilvl="3">
        <w:start w:val="1"/>
        <w:numFmt w:val="decimal"/>
        <w:pStyle w:val="Level4"/>
        <w:lvlText w:val="(%4)"/>
        <w:lvlJc w:val="left"/>
        <w:pPr>
          <w:tabs>
            <w:tab w:val="num" w:pos="2041"/>
          </w:tabs>
          <w:ind w:left="2041" w:hanging="680"/>
        </w:pPr>
        <w:rPr>
          <w:sz w:val="20"/>
        </w:rPr>
      </w:lvl>
    </w:lvlOverride>
    <w:lvlOverride w:ilvl="4">
      <w:lvl w:ilvl="4">
        <w:start w:val="1"/>
        <w:numFmt w:val="decimal"/>
        <w:pStyle w:val="Level5"/>
        <w:lvlText w:val="(%5)"/>
        <w:lvlJc w:val="left"/>
        <w:pPr>
          <w:tabs>
            <w:tab w:val="num" w:pos="2722"/>
          </w:tabs>
          <w:ind w:left="2722" w:hanging="681"/>
        </w:pPr>
        <w:rPr>
          <w:sz w:val="20"/>
        </w:rPr>
      </w:lvl>
    </w:lvlOverride>
    <w:lvlOverride w:ilvl="5">
      <w:lvl w:ilvl="5">
        <w:start w:val="1"/>
        <w:numFmt w:val="decimal"/>
        <w:pStyle w:val="Level6"/>
        <w:lvlText w:val="(%6)"/>
        <w:lvlJc w:val="left"/>
        <w:pPr>
          <w:tabs>
            <w:tab w:val="num" w:pos="3402"/>
          </w:tabs>
          <w:ind w:left="3402" w:hanging="680"/>
        </w:pPr>
        <w:rPr>
          <w:sz w:val="20"/>
        </w:rPr>
      </w:lvl>
    </w:lvlOverride>
    <w:lvlOverride w:ilvl="6">
      <w:lvl w:ilvl="6">
        <w:start w:val="1"/>
        <w:numFmt w:val="decimal"/>
        <w:pStyle w:val="Level7"/>
        <w:lvlText w:val=""/>
        <w:lvlJc w:val="left"/>
        <w:pPr>
          <w:tabs>
            <w:tab w:val="num" w:pos="3402"/>
          </w:tabs>
          <w:ind w:left="3402" w:hanging="680"/>
        </w:pPr>
      </w:lvl>
    </w:lvlOverride>
    <w:lvlOverride w:ilvl="7">
      <w:lvl w:ilvl="7">
        <w:start w:val="1"/>
        <w:numFmt w:val="decimal"/>
        <w:pStyle w:val="Level8"/>
        <w:lvlText w:val=""/>
        <w:lvlJc w:val="left"/>
        <w:pPr>
          <w:tabs>
            <w:tab w:val="num" w:pos="3402"/>
          </w:tabs>
          <w:ind w:left="3402" w:hanging="680"/>
        </w:pPr>
      </w:lvl>
    </w:lvlOverride>
    <w:lvlOverride w:ilvl="8">
      <w:lvl w:ilvl="8">
        <w:start w:val="1"/>
        <w:numFmt w:val="decimal"/>
        <w:pStyle w:val="Level9"/>
        <w:lvlText w:val=""/>
        <w:lvlJc w:val="left"/>
        <w:pPr>
          <w:tabs>
            <w:tab w:val="num" w:pos="3402"/>
          </w:tabs>
          <w:ind w:left="3402" w:hanging="680"/>
        </w:pPr>
      </w:lvl>
    </w:lvlOverride>
  </w:num>
  <w:num w:numId="66" w16cid:durableId="41197518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16cid:durableId="562065078">
    <w:abstractNumId w:val="15"/>
    <w:lvlOverride w:ilvl="0">
      <w:lvl w:ilvl="0">
        <w:start w:val="1"/>
        <w:numFmt w:val="decimal"/>
        <w:pStyle w:val="Level1"/>
        <w:lvlText w:val="%1"/>
        <w:lvlJc w:val="left"/>
        <w:pPr>
          <w:tabs>
            <w:tab w:val="num" w:pos="1360"/>
          </w:tabs>
          <w:ind w:left="1360" w:hanging="680"/>
        </w:pPr>
        <w:rPr>
          <w:rFonts w:hAnsi="Arial" w:cs="Times New Roman" w:hint="default"/>
          <w:b/>
          <w:i w:val="0"/>
          <w:sz w:val="22"/>
        </w:rPr>
      </w:lvl>
    </w:lvlOverride>
    <w:lvlOverride w:ilvl="1">
      <w:lvl w:ilvl="1">
        <w:start w:val="1"/>
        <w:numFmt w:val="decimal"/>
        <w:pStyle w:val="Level2"/>
        <w:lvlText w:val="%1.%2"/>
        <w:lvlJc w:val="left"/>
        <w:pPr>
          <w:tabs>
            <w:tab w:val="num" w:pos="1360"/>
          </w:tabs>
          <w:ind w:left="1360" w:hanging="680"/>
        </w:pPr>
        <w:rPr>
          <w:rFonts w:hint="default"/>
          <w:b/>
          <w:i w:val="0"/>
          <w:sz w:val="21"/>
        </w:rPr>
      </w:lvl>
    </w:lvlOverride>
    <w:lvlOverride w:ilvl="2">
      <w:lvl w:ilvl="2">
        <w:start w:val="1"/>
        <w:numFmt w:val="decimal"/>
        <w:pStyle w:val="Level3"/>
        <w:lvlText w:val="%1.%2.%3"/>
        <w:lvlJc w:val="left"/>
        <w:pPr>
          <w:tabs>
            <w:tab w:val="num" w:pos="2041"/>
          </w:tabs>
          <w:ind w:left="2041" w:hanging="681"/>
        </w:pPr>
        <w:rPr>
          <w:rFonts w:hint="default"/>
          <w:b/>
          <w:i w:val="0"/>
          <w:sz w:val="17"/>
        </w:rPr>
      </w:lvl>
    </w:lvlOverride>
    <w:lvlOverride w:ilvl="3">
      <w:lvl w:ilvl="3">
        <w:start w:val="1"/>
        <w:numFmt w:val="lowerRoman"/>
        <w:pStyle w:val="Level4"/>
        <w:lvlText w:val="(%4)"/>
        <w:lvlJc w:val="left"/>
        <w:pPr>
          <w:tabs>
            <w:tab w:val="num" w:pos="2721"/>
          </w:tabs>
          <w:ind w:left="2721" w:hanging="680"/>
        </w:pPr>
        <w:rPr>
          <w:rFonts w:hint="default"/>
          <w:b w:val="0"/>
          <w:bCs w:val="0"/>
          <w:i w:val="0"/>
          <w:iCs w:val="0"/>
          <w:sz w:val="20"/>
        </w:rPr>
      </w:lvl>
    </w:lvlOverride>
    <w:lvlOverride w:ilvl="4">
      <w:lvl w:ilvl="4">
        <w:start w:val="1"/>
        <w:numFmt w:val="lowerLetter"/>
        <w:pStyle w:val="Level5"/>
        <w:lvlText w:val="(%5)"/>
        <w:lvlJc w:val="left"/>
        <w:pPr>
          <w:tabs>
            <w:tab w:val="num" w:pos="3402"/>
          </w:tabs>
          <w:ind w:left="3402" w:hanging="681"/>
        </w:pPr>
        <w:rPr>
          <w:rFonts w:hint="default"/>
          <w:b w:val="0"/>
          <w:bCs w:val="0"/>
          <w:i w:val="0"/>
          <w:iCs w:val="0"/>
          <w:sz w:val="20"/>
        </w:rPr>
      </w:lvl>
    </w:lvlOverride>
    <w:lvlOverride w:ilvl="5">
      <w:lvl w:ilvl="5">
        <w:start w:val="1"/>
        <w:numFmt w:val="upperRoman"/>
        <w:pStyle w:val="Level6"/>
        <w:lvlText w:val="(%6)"/>
        <w:lvlJc w:val="left"/>
        <w:pPr>
          <w:tabs>
            <w:tab w:val="num" w:pos="4082"/>
          </w:tabs>
          <w:ind w:left="4082" w:hanging="680"/>
        </w:pPr>
        <w:rPr>
          <w:rFonts w:hint="default"/>
          <w:sz w:val="20"/>
        </w:rPr>
      </w:lvl>
    </w:lvlOverride>
    <w:lvlOverride w:ilvl="6">
      <w:lvl w:ilvl="6">
        <w:start w:val="1"/>
        <w:numFmt w:val="none"/>
        <w:pStyle w:val="Level7"/>
        <w:lvlText w:val=""/>
        <w:lvlJc w:val="left"/>
        <w:pPr>
          <w:tabs>
            <w:tab w:val="num" w:pos="4082"/>
          </w:tabs>
          <w:ind w:left="4082" w:hanging="680"/>
        </w:pPr>
        <w:rPr>
          <w:rFonts w:hint="default"/>
        </w:rPr>
      </w:lvl>
    </w:lvlOverride>
    <w:lvlOverride w:ilvl="7">
      <w:lvl w:ilvl="7">
        <w:start w:val="1"/>
        <w:numFmt w:val="none"/>
        <w:pStyle w:val="Level8"/>
        <w:lvlText w:val=""/>
        <w:lvlJc w:val="left"/>
        <w:pPr>
          <w:tabs>
            <w:tab w:val="num" w:pos="4082"/>
          </w:tabs>
          <w:ind w:left="4082" w:hanging="680"/>
        </w:pPr>
        <w:rPr>
          <w:rFonts w:hint="default"/>
        </w:rPr>
      </w:lvl>
    </w:lvlOverride>
    <w:lvlOverride w:ilvl="8">
      <w:lvl w:ilvl="8">
        <w:start w:val="1"/>
        <w:numFmt w:val="none"/>
        <w:pStyle w:val="Level9"/>
        <w:lvlText w:val=""/>
        <w:lvlJc w:val="left"/>
        <w:pPr>
          <w:tabs>
            <w:tab w:val="num" w:pos="4082"/>
          </w:tabs>
          <w:ind w:left="4082" w:hanging="680"/>
        </w:pPr>
        <w:rPr>
          <w:rFonts w:hint="default"/>
        </w:rPr>
      </w:lvl>
    </w:lvlOverride>
  </w:num>
  <w:num w:numId="68" w16cid:durableId="1403409581">
    <w:abstractNumId w:val="15"/>
  </w:num>
  <w:num w:numId="69" w16cid:durableId="1056318846">
    <w:abstractNumId w:val="15"/>
    <w:lvlOverride w:ilvl="0">
      <w:lvl w:ilvl="0">
        <w:start w:val="1"/>
        <w:numFmt w:val="decimal"/>
        <w:pStyle w:val="Level1"/>
        <w:lvlText w:val="%1"/>
        <w:lvlJc w:val="left"/>
        <w:pPr>
          <w:tabs>
            <w:tab w:val="num" w:pos="680"/>
          </w:tabs>
          <w:ind w:left="680" w:hanging="680"/>
        </w:pPr>
        <w:rPr>
          <w:rFonts w:hAnsi="Arial" w:cs="Times New Roman" w:hint="default"/>
          <w:b/>
          <w:i w:val="0"/>
          <w:sz w:val="22"/>
        </w:rPr>
      </w:lvl>
    </w:lvlOverride>
    <w:lvlOverride w:ilvl="1">
      <w:lvl w:ilvl="1">
        <w:start w:val="1"/>
        <w:numFmt w:val="decimal"/>
        <w:pStyle w:val="Level2"/>
        <w:lvlText w:val="%1.%2"/>
        <w:lvlJc w:val="left"/>
        <w:pPr>
          <w:tabs>
            <w:tab w:val="num" w:pos="680"/>
          </w:tabs>
          <w:ind w:left="680" w:hanging="680"/>
        </w:pPr>
        <w:rPr>
          <w:rFonts w:hint="default"/>
          <w:b/>
          <w:i w:val="0"/>
          <w:sz w:val="21"/>
        </w:rPr>
      </w:lvl>
    </w:lvlOverride>
    <w:lvlOverride w:ilvl="2">
      <w:lvl w:ilvl="2">
        <w:start w:val="1"/>
        <w:numFmt w:val="decimal"/>
        <w:pStyle w:val="Level3"/>
        <w:lvlText w:val="%1.%2.%3"/>
        <w:lvlJc w:val="left"/>
        <w:pPr>
          <w:tabs>
            <w:tab w:val="num" w:pos="1361"/>
          </w:tabs>
          <w:ind w:left="1361" w:hanging="681"/>
        </w:pPr>
        <w:rPr>
          <w:rFonts w:hint="default"/>
          <w:b/>
          <w:i w:val="0"/>
          <w:sz w:val="17"/>
        </w:rPr>
      </w:lvl>
    </w:lvlOverride>
    <w:lvlOverride w:ilvl="3">
      <w:lvl w:ilvl="3">
        <w:start w:val="1"/>
        <w:numFmt w:val="lowerRoman"/>
        <w:pStyle w:val="Level4"/>
        <w:lvlText w:val="(%4)"/>
        <w:lvlJc w:val="left"/>
        <w:pPr>
          <w:tabs>
            <w:tab w:val="num" w:pos="2041"/>
          </w:tabs>
          <w:ind w:left="2041" w:hanging="680"/>
        </w:pPr>
        <w:rPr>
          <w:rFonts w:hint="default"/>
          <w:sz w:val="20"/>
        </w:rPr>
      </w:lvl>
    </w:lvlOverride>
    <w:lvlOverride w:ilvl="4">
      <w:lvl w:ilvl="4">
        <w:start w:val="1"/>
        <w:numFmt w:val="lowerLetter"/>
        <w:pStyle w:val="Level5"/>
        <w:lvlText w:val="(%5)"/>
        <w:lvlJc w:val="left"/>
        <w:pPr>
          <w:tabs>
            <w:tab w:val="num" w:pos="2722"/>
          </w:tabs>
          <w:ind w:left="2722" w:hanging="681"/>
        </w:pPr>
        <w:rPr>
          <w:rFonts w:hint="default"/>
          <w:sz w:val="20"/>
        </w:rPr>
      </w:lvl>
    </w:lvlOverride>
    <w:lvlOverride w:ilvl="5">
      <w:lvl w:ilvl="5">
        <w:start w:val="1"/>
        <w:numFmt w:val="upperRoman"/>
        <w:pStyle w:val="Level6"/>
        <w:lvlText w:val="(%6)"/>
        <w:lvlJc w:val="left"/>
        <w:pPr>
          <w:tabs>
            <w:tab w:val="num" w:pos="3402"/>
          </w:tabs>
          <w:ind w:left="3402" w:hanging="680"/>
        </w:pPr>
        <w:rPr>
          <w:rFonts w:hint="default"/>
          <w:sz w:val="20"/>
        </w:rPr>
      </w:lvl>
    </w:lvlOverride>
    <w:lvlOverride w:ilvl="6">
      <w:lvl w:ilvl="6">
        <w:start w:val="1"/>
        <w:numFmt w:val="none"/>
        <w:pStyle w:val="Level7"/>
        <w:lvlText w:val=""/>
        <w:lvlJc w:val="left"/>
        <w:pPr>
          <w:tabs>
            <w:tab w:val="num" w:pos="3402"/>
          </w:tabs>
          <w:ind w:left="3402" w:hanging="680"/>
        </w:pPr>
        <w:rPr>
          <w:rFonts w:hint="default"/>
        </w:rPr>
      </w:lvl>
    </w:lvlOverride>
    <w:lvlOverride w:ilvl="7">
      <w:lvl w:ilvl="7">
        <w:start w:val="1"/>
        <w:numFmt w:val="none"/>
        <w:pStyle w:val="Level8"/>
        <w:lvlText w:val=""/>
        <w:lvlJc w:val="left"/>
        <w:pPr>
          <w:tabs>
            <w:tab w:val="num" w:pos="3402"/>
          </w:tabs>
          <w:ind w:left="3402" w:hanging="680"/>
        </w:pPr>
        <w:rPr>
          <w:rFonts w:hint="default"/>
        </w:rPr>
      </w:lvl>
    </w:lvlOverride>
    <w:lvlOverride w:ilvl="8">
      <w:lvl w:ilvl="8">
        <w:start w:val="1"/>
        <w:numFmt w:val="none"/>
        <w:pStyle w:val="Level9"/>
        <w:lvlText w:val=""/>
        <w:lvlJc w:val="left"/>
        <w:pPr>
          <w:tabs>
            <w:tab w:val="num" w:pos="3402"/>
          </w:tabs>
          <w:ind w:left="3402" w:hanging="680"/>
        </w:pPr>
        <w:rPr>
          <w:rFonts w:hint="default"/>
        </w:rPr>
      </w:lvl>
    </w:lvlOverride>
  </w:num>
  <w:num w:numId="70" w16cid:durableId="1776631173">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16cid:durableId="1952711225">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16cid:durableId="139666692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16cid:durableId="2137984665">
    <w:abstractNumId w:val="15"/>
    <w:lvlOverride w:ilvl="0">
      <w:lvl w:ilvl="0">
        <w:start w:val="1"/>
        <w:numFmt w:val="decimal"/>
        <w:pStyle w:val="Level1"/>
        <w:lvlText w:val="%1"/>
        <w:lvlJc w:val="left"/>
        <w:pPr>
          <w:tabs>
            <w:tab w:val="num" w:pos="1360"/>
          </w:tabs>
          <w:ind w:left="1360" w:hanging="680"/>
        </w:pPr>
        <w:rPr>
          <w:rFonts w:hAnsi="Arial" w:cs="Times New Roman" w:hint="default"/>
          <w:b/>
          <w:i w:val="0"/>
          <w:sz w:val="22"/>
        </w:rPr>
      </w:lvl>
    </w:lvlOverride>
    <w:lvlOverride w:ilvl="1">
      <w:lvl w:ilvl="1">
        <w:start w:val="1"/>
        <w:numFmt w:val="decimal"/>
        <w:pStyle w:val="Level2"/>
        <w:lvlText w:val="%1.%2"/>
        <w:lvlJc w:val="left"/>
        <w:pPr>
          <w:tabs>
            <w:tab w:val="num" w:pos="1360"/>
          </w:tabs>
          <w:ind w:left="1360" w:hanging="680"/>
        </w:pPr>
        <w:rPr>
          <w:rFonts w:hint="default"/>
          <w:b/>
          <w:i w:val="0"/>
          <w:sz w:val="21"/>
        </w:rPr>
      </w:lvl>
    </w:lvlOverride>
    <w:lvlOverride w:ilvl="2">
      <w:lvl w:ilvl="2">
        <w:start w:val="1"/>
        <w:numFmt w:val="decimal"/>
        <w:pStyle w:val="Level3"/>
        <w:lvlText w:val="%1.%2.%3"/>
        <w:lvlJc w:val="left"/>
        <w:pPr>
          <w:tabs>
            <w:tab w:val="num" w:pos="2041"/>
          </w:tabs>
          <w:ind w:left="2041" w:hanging="681"/>
        </w:pPr>
        <w:rPr>
          <w:rFonts w:hint="default"/>
          <w:b/>
          <w:i w:val="0"/>
          <w:sz w:val="17"/>
        </w:rPr>
      </w:lvl>
    </w:lvlOverride>
    <w:lvlOverride w:ilvl="3">
      <w:lvl w:ilvl="3">
        <w:start w:val="1"/>
        <w:numFmt w:val="lowerRoman"/>
        <w:pStyle w:val="Level4"/>
        <w:lvlText w:val="(%4)"/>
        <w:lvlJc w:val="left"/>
        <w:pPr>
          <w:tabs>
            <w:tab w:val="num" w:pos="2721"/>
          </w:tabs>
          <w:ind w:left="2721" w:hanging="680"/>
        </w:pPr>
        <w:rPr>
          <w:rFonts w:hint="default"/>
          <w:b w:val="0"/>
          <w:bCs w:val="0"/>
          <w:i w:val="0"/>
          <w:iCs w:val="0"/>
          <w:sz w:val="20"/>
        </w:rPr>
      </w:lvl>
    </w:lvlOverride>
    <w:lvlOverride w:ilvl="4">
      <w:lvl w:ilvl="4">
        <w:start w:val="1"/>
        <w:numFmt w:val="lowerLetter"/>
        <w:pStyle w:val="Level5"/>
        <w:lvlText w:val="(%5)"/>
        <w:lvlJc w:val="left"/>
        <w:pPr>
          <w:tabs>
            <w:tab w:val="num" w:pos="3402"/>
          </w:tabs>
          <w:ind w:left="3402" w:hanging="681"/>
        </w:pPr>
        <w:rPr>
          <w:rFonts w:hint="default"/>
          <w:b w:val="0"/>
          <w:bCs w:val="0"/>
          <w:i w:val="0"/>
          <w:iCs w:val="0"/>
          <w:sz w:val="20"/>
        </w:rPr>
      </w:lvl>
    </w:lvlOverride>
    <w:lvlOverride w:ilvl="5">
      <w:lvl w:ilvl="5">
        <w:start w:val="1"/>
        <w:numFmt w:val="upperRoman"/>
        <w:pStyle w:val="Level6"/>
        <w:lvlText w:val="(%6)"/>
        <w:lvlJc w:val="left"/>
        <w:pPr>
          <w:tabs>
            <w:tab w:val="num" w:pos="4082"/>
          </w:tabs>
          <w:ind w:left="4082" w:hanging="680"/>
        </w:pPr>
        <w:rPr>
          <w:rFonts w:hint="default"/>
          <w:sz w:val="20"/>
        </w:rPr>
      </w:lvl>
    </w:lvlOverride>
    <w:lvlOverride w:ilvl="6">
      <w:lvl w:ilvl="6">
        <w:start w:val="1"/>
        <w:numFmt w:val="none"/>
        <w:pStyle w:val="Level7"/>
        <w:lvlText w:val=""/>
        <w:lvlJc w:val="left"/>
        <w:pPr>
          <w:tabs>
            <w:tab w:val="num" w:pos="4082"/>
          </w:tabs>
          <w:ind w:left="4082" w:hanging="680"/>
        </w:pPr>
        <w:rPr>
          <w:rFonts w:hint="default"/>
        </w:rPr>
      </w:lvl>
    </w:lvlOverride>
    <w:lvlOverride w:ilvl="7">
      <w:lvl w:ilvl="7">
        <w:start w:val="1"/>
        <w:numFmt w:val="none"/>
        <w:pStyle w:val="Level8"/>
        <w:lvlText w:val=""/>
        <w:lvlJc w:val="left"/>
        <w:pPr>
          <w:tabs>
            <w:tab w:val="num" w:pos="4082"/>
          </w:tabs>
          <w:ind w:left="4082" w:hanging="680"/>
        </w:pPr>
        <w:rPr>
          <w:rFonts w:hint="default"/>
        </w:rPr>
      </w:lvl>
    </w:lvlOverride>
    <w:lvlOverride w:ilvl="8">
      <w:lvl w:ilvl="8">
        <w:start w:val="1"/>
        <w:numFmt w:val="none"/>
        <w:pStyle w:val="Level9"/>
        <w:lvlText w:val=""/>
        <w:lvlJc w:val="left"/>
        <w:pPr>
          <w:tabs>
            <w:tab w:val="num" w:pos="4082"/>
          </w:tabs>
          <w:ind w:left="4082" w:hanging="680"/>
        </w:pPr>
        <w:rPr>
          <w:rFonts w:hint="default"/>
        </w:rPr>
      </w:lvl>
    </w:lvlOverride>
  </w:num>
  <w:num w:numId="74" w16cid:durableId="1387296017">
    <w:abstractNumId w:val="17"/>
  </w:num>
  <w:num w:numId="75" w16cid:durableId="204501192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16cid:durableId="1621571157">
    <w:abstractNumId w:val="15"/>
    <w:lvlOverride w:ilvl="0">
      <w:lvl w:ilvl="0">
        <w:start w:val="1"/>
        <w:numFmt w:val="decimal"/>
        <w:pStyle w:val="Level1"/>
        <w:lvlText w:val="%1"/>
        <w:lvlJc w:val="left"/>
        <w:pPr>
          <w:tabs>
            <w:tab w:val="num" w:pos="1360"/>
          </w:tabs>
          <w:ind w:left="1360" w:hanging="680"/>
        </w:pPr>
        <w:rPr>
          <w:rFonts w:hAnsi="Arial" w:cs="Times New Roman" w:hint="default"/>
          <w:b/>
          <w:i w:val="0"/>
          <w:sz w:val="22"/>
        </w:rPr>
      </w:lvl>
    </w:lvlOverride>
    <w:lvlOverride w:ilvl="1">
      <w:lvl w:ilvl="1">
        <w:start w:val="1"/>
        <w:numFmt w:val="decimal"/>
        <w:pStyle w:val="Level2"/>
        <w:lvlText w:val="%1.%2"/>
        <w:lvlJc w:val="left"/>
        <w:pPr>
          <w:tabs>
            <w:tab w:val="num" w:pos="1360"/>
          </w:tabs>
          <w:ind w:left="1360" w:hanging="680"/>
        </w:pPr>
        <w:rPr>
          <w:rFonts w:hint="default"/>
          <w:b/>
          <w:i w:val="0"/>
          <w:sz w:val="21"/>
        </w:rPr>
      </w:lvl>
    </w:lvlOverride>
    <w:lvlOverride w:ilvl="2">
      <w:lvl w:ilvl="2">
        <w:start w:val="1"/>
        <w:numFmt w:val="decimal"/>
        <w:pStyle w:val="Level3"/>
        <w:lvlText w:val="%1.%2.%3"/>
        <w:lvlJc w:val="left"/>
        <w:pPr>
          <w:tabs>
            <w:tab w:val="num" w:pos="2041"/>
          </w:tabs>
          <w:ind w:left="2041" w:hanging="681"/>
        </w:pPr>
        <w:rPr>
          <w:rFonts w:hint="default"/>
          <w:b/>
          <w:i w:val="0"/>
          <w:sz w:val="17"/>
        </w:rPr>
      </w:lvl>
    </w:lvlOverride>
    <w:lvlOverride w:ilvl="3">
      <w:lvl w:ilvl="3">
        <w:start w:val="1"/>
        <w:numFmt w:val="lowerRoman"/>
        <w:pStyle w:val="Level4"/>
        <w:lvlText w:val="(%4)"/>
        <w:lvlJc w:val="left"/>
        <w:pPr>
          <w:tabs>
            <w:tab w:val="num" w:pos="2721"/>
          </w:tabs>
          <w:ind w:left="2721" w:hanging="680"/>
        </w:pPr>
        <w:rPr>
          <w:rFonts w:hint="default"/>
          <w:b w:val="0"/>
          <w:bCs w:val="0"/>
          <w:i w:val="0"/>
          <w:iCs w:val="0"/>
          <w:sz w:val="20"/>
        </w:rPr>
      </w:lvl>
    </w:lvlOverride>
    <w:lvlOverride w:ilvl="4">
      <w:lvl w:ilvl="4">
        <w:start w:val="1"/>
        <w:numFmt w:val="lowerLetter"/>
        <w:pStyle w:val="Level5"/>
        <w:lvlText w:val="(%5)"/>
        <w:lvlJc w:val="left"/>
        <w:pPr>
          <w:tabs>
            <w:tab w:val="num" w:pos="3402"/>
          </w:tabs>
          <w:ind w:left="3402" w:hanging="681"/>
        </w:pPr>
        <w:rPr>
          <w:rFonts w:hint="default"/>
          <w:b w:val="0"/>
          <w:bCs w:val="0"/>
          <w:i w:val="0"/>
          <w:iCs w:val="0"/>
          <w:sz w:val="20"/>
        </w:rPr>
      </w:lvl>
    </w:lvlOverride>
    <w:lvlOverride w:ilvl="5">
      <w:lvl w:ilvl="5">
        <w:start w:val="1"/>
        <w:numFmt w:val="upperRoman"/>
        <w:pStyle w:val="Level6"/>
        <w:lvlText w:val="(%6)"/>
        <w:lvlJc w:val="left"/>
        <w:pPr>
          <w:tabs>
            <w:tab w:val="num" w:pos="4082"/>
          </w:tabs>
          <w:ind w:left="4082" w:hanging="680"/>
        </w:pPr>
        <w:rPr>
          <w:rFonts w:hint="default"/>
          <w:sz w:val="20"/>
        </w:rPr>
      </w:lvl>
    </w:lvlOverride>
    <w:lvlOverride w:ilvl="6">
      <w:lvl w:ilvl="6">
        <w:start w:val="1"/>
        <w:numFmt w:val="none"/>
        <w:pStyle w:val="Level7"/>
        <w:lvlText w:val=""/>
        <w:lvlJc w:val="left"/>
        <w:pPr>
          <w:tabs>
            <w:tab w:val="num" w:pos="4082"/>
          </w:tabs>
          <w:ind w:left="4082" w:hanging="680"/>
        </w:pPr>
        <w:rPr>
          <w:rFonts w:hint="default"/>
        </w:rPr>
      </w:lvl>
    </w:lvlOverride>
    <w:lvlOverride w:ilvl="7">
      <w:lvl w:ilvl="7">
        <w:start w:val="1"/>
        <w:numFmt w:val="none"/>
        <w:pStyle w:val="Level8"/>
        <w:lvlText w:val=""/>
        <w:lvlJc w:val="left"/>
        <w:pPr>
          <w:tabs>
            <w:tab w:val="num" w:pos="4082"/>
          </w:tabs>
          <w:ind w:left="4082" w:hanging="680"/>
        </w:pPr>
        <w:rPr>
          <w:rFonts w:hint="default"/>
        </w:rPr>
      </w:lvl>
    </w:lvlOverride>
    <w:lvlOverride w:ilvl="8">
      <w:lvl w:ilvl="8">
        <w:start w:val="1"/>
        <w:numFmt w:val="none"/>
        <w:pStyle w:val="Level9"/>
        <w:lvlText w:val=""/>
        <w:lvlJc w:val="left"/>
        <w:pPr>
          <w:tabs>
            <w:tab w:val="num" w:pos="4082"/>
          </w:tabs>
          <w:ind w:left="4082" w:hanging="680"/>
        </w:pPr>
        <w:rPr>
          <w:rFonts w:hint="default"/>
        </w:rPr>
      </w:lvl>
    </w:lvlOverride>
  </w:num>
  <w:num w:numId="77" w16cid:durableId="1197474715">
    <w:abstractNumId w:val="12"/>
  </w:num>
  <w:num w:numId="78" w16cid:durableId="1698575910">
    <w:abstractNumId w:val="17"/>
  </w:num>
  <w:num w:numId="79" w16cid:durableId="279147742">
    <w:abstractNumId w:val="17"/>
  </w:num>
  <w:num w:numId="80" w16cid:durableId="1666283558">
    <w:abstractNumId w:val="15"/>
    <w:lvlOverride w:ilvl="0">
      <w:lvl w:ilvl="0">
        <w:start w:val="1"/>
        <w:numFmt w:val="decimal"/>
        <w:pStyle w:val="Level1"/>
        <w:lvlText w:val="%1"/>
        <w:lvlJc w:val="left"/>
        <w:pPr>
          <w:tabs>
            <w:tab w:val="num" w:pos="1360"/>
          </w:tabs>
          <w:ind w:left="1360" w:hanging="680"/>
        </w:pPr>
        <w:rPr>
          <w:rFonts w:hAnsi="Arial" w:cs="Times New Roman" w:hint="default"/>
          <w:b/>
          <w:i w:val="0"/>
          <w:sz w:val="22"/>
        </w:rPr>
      </w:lvl>
    </w:lvlOverride>
    <w:lvlOverride w:ilvl="1">
      <w:lvl w:ilvl="1">
        <w:start w:val="1"/>
        <w:numFmt w:val="decimal"/>
        <w:pStyle w:val="Level2"/>
        <w:lvlText w:val="%1.%2"/>
        <w:lvlJc w:val="left"/>
        <w:pPr>
          <w:tabs>
            <w:tab w:val="num" w:pos="1360"/>
          </w:tabs>
          <w:ind w:left="1360" w:hanging="680"/>
        </w:pPr>
        <w:rPr>
          <w:rFonts w:hint="default"/>
          <w:b/>
          <w:i w:val="0"/>
          <w:sz w:val="21"/>
        </w:rPr>
      </w:lvl>
    </w:lvlOverride>
    <w:lvlOverride w:ilvl="2">
      <w:lvl w:ilvl="2">
        <w:start w:val="1"/>
        <w:numFmt w:val="decimal"/>
        <w:pStyle w:val="Level3"/>
        <w:lvlText w:val="%1.%2.%3"/>
        <w:lvlJc w:val="left"/>
        <w:pPr>
          <w:tabs>
            <w:tab w:val="num" w:pos="2041"/>
          </w:tabs>
          <w:ind w:left="2041" w:hanging="681"/>
        </w:pPr>
        <w:rPr>
          <w:rFonts w:hint="default"/>
          <w:b/>
          <w:i w:val="0"/>
          <w:sz w:val="17"/>
        </w:rPr>
      </w:lvl>
    </w:lvlOverride>
    <w:lvlOverride w:ilvl="3">
      <w:lvl w:ilvl="3">
        <w:start w:val="1"/>
        <w:numFmt w:val="lowerRoman"/>
        <w:pStyle w:val="Level4"/>
        <w:lvlText w:val="(%4)"/>
        <w:lvlJc w:val="left"/>
        <w:pPr>
          <w:tabs>
            <w:tab w:val="num" w:pos="2721"/>
          </w:tabs>
          <w:ind w:left="2721" w:hanging="680"/>
        </w:pPr>
        <w:rPr>
          <w:rFonts w:hint="default"/>
          <w:b w:val="0"/>
          <w:bCs w:val="0"/>
          <w:i w:val="0"/>
          <w:iCs w:val="0"/>
          <w:sz w:val="20"/>
        </w:rPr>
      </w:lvl>
    </w:lvlOverride>
    <w:lvlOverride w:ilvl="4">
      <w:lvl w:ilvl="4">
        <w:start w:val="1"/>
        <w:numFmt w:val="lowerLetter"/>
        <w:pStyle w:val="Level5"/>
        <w:lvlText w:val="(%5)"/>
        <w:lvlJc w:val="left"/>
        <w:pPr>
          <w:tabs>
            <w:tab w:val="num" w:pos="3402"/>
          </w:tabs>
          <w:ind w:left="3402" w:hanging="681"/>
        </w:pPr>
        <w:rPr>
          <w:rFonts w:hint="default"/>
          <w:b w:val="0"/>
          <w:bCs w:val="0"/>
          <w:i w:val="0"/>
          <w:iCs w:val="0"/>
          <w:sz w:val="20"/>
        </w:rPr>
      </w:lvl>
    </w:lvlOverride>
    <w:lvlOverride w:ilvl="5">
      <w:lvl w:ilvl="5">
        <w:start w:val="1"/>
        <w:numFmt w:val="upperRoman"/>
        <w:pStyle w:val="Level6"/>
        <w:lvlText w:val="(%6)"/>
        <w:lvlJc w:val="left"/>
        <w:pPr>
          <w:tabs>
            <w:tab w:val="num" w:pos="4082"/>
          </w:tabs>
          <w:ind w:left="4082" w:hanging="680"/>
        </w:pPr>
        <w:rPr>
          <w:rFonts w:hint="default"/>
          <w:sz w:val="20"/>
        </w:rPr>
      </w:lvl>
    </w:lvlOverride>
    <w:lvlOverride w:ilvl="6">
      <w:lvl w:ilvl="6">
        <w:start w:val="1"/>
        <w:numFmt w:val="none"/>
        <w:pStyle w:val="Level7"/>
        <w:lvlText w:val=""/>
        <w:lvlJc w:val="left"/>
        <w:pPr>
          <w:tabs>
            <w:tab w:val="num" w:pos="4082"/>
          </w:tabs>
          <w:ind w:left="4082" w:hanging="680"/>
        </w:pPr>
        <w:rPr>
          <w:rFonts w:hint="default"/>
        </w:rPr>
      </w:lvl>
    </w:lvlOverride>
    <w:lvlOverride w:ilvl="7">
      <w:lvl w:ilvl="7">
        <w:start w:val="1"/>
        <w:numFmt w:val="none"/>
        <w:pStyle w:val="Level8"/>
        <w:lvlText w:val=""/>
        <w:lvlJc w:val="left"/>
        <w:pPr>
          <w:tabs>
            <w:tab w:val="num" w:pos="4082"/>
          </w:tabs>
          <w:ind w:left="4082" w:hanging="680"/>
        </w:pPr>
        <w:rPr>
          <w:rFonts w:hint="default"/>
        </w:rPr>
      </w:lvl>
    </w:lvlOverride>
    <w:lvlOverride w:ilvl="8">
      <w:lvl w:ilvl="8">
        <w:start w:val="1"/>
        <w:numFmt w:val="none"/>
        <w:pStyle w:val="Level9"/>
        <w:lvlText w:val=""/>
        <w:lvlJc w:val="left"/>
        <w:pPr>
          <w:tabs>
            <w:tab w:val="num" w:pos="4082"/>
          </w:tabs>
          <w:ind w:left="4082" w:hanging="680"/>
        </w:pPr>
        <w:rPr>
          <w:rFonts w:hint="default"/>
        </w:rPr>
      </w:lvl>
    </w:lvlOverride>
  </w:num>
  <w:num w:numId="81" w16cid:durableId="1240797881">
    <w:abstractNumId w:val="17"/>
  </w:num>
  <w:num w:numId="82" w16cid:durableId="2018190153">
    <w:abstractNumId w:val="17"/>
  </w:num>
  <w:num w:numId="83" w16cid:durableId="185599217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16cid:durableId="492722929">
    <w:abstractNumId w:val="17"/>
  </w:num>
  <w:num w:numId="85" w16cid:durableId="1485392573">
    <w:abstractNumId w:val="17"/>
  </w:num>
  <w:num w:numId="86" w16cid:durableId="831026560">
    <w:abstractNumId w:val="17"/>
  </w:num>
  <w:num w:numId="87" w16cid:durableId="1094939692">
    <w:abstractNumId w:val="15"/>
    <w:lvlOverride w:ilvl="0">
      <w:lvl w:ilvl="0">
        <w:start w:val="1"/>
        <w:numFmt w:val="decimal"/>
        <w:pStyle w:val="Level1"/>
        <w:lvlText w:val="%1"/>
        <w:lvlJc w:val="left"/>
        <w:pPr>
          <w:tabs>
            <w:tab w:val="num" w:pos="1360"/>
          </w:tabs>
          <w:ind w:left="1360" w:hanging="680"/>
        </w:pPr>
        <w:rPr>
          <w:rFonts w:hAnsi="Arial" w:cs="Times New Roman" w:hint="default"/>
          <w:b/>
          <w:i w:val="0"/>
          <w:sz w:val="22"/>
        </w:rPr>
      </w:lvl>
    </w:lvlOverride>
    <w:lvlOverride w:ilvl="1">
      <w:lvl w:ilvl="1">
        <w:start w:val="1"/>
        <w:numFmt w:val="decimal"/>
        <w:pStyle w:val="Level2"/>
        <w:lvlText w:val="%1.%2"/>
        <w:lvlJc w:val="left"/>
        <w:pPr>
          <w:tabs>
            <w:tab w:val="num" w:pos="1360"/>
          </w:tabs>
          <w:ind w:left="1360" w:hanging="680"/>
        </w:pPr>
        <w:rPr>
          <w:rFonts w:hint="default"/>
          <w:b/>
          <w:i w:val="0"/>
          <w:sz w:val="21"/>
        </w:rPr>
      </w:lvl>
    </w:lvlOverride>
    <w:lvlOverride w:ilvl="2">
      <w:lvl w:ilvl="2">
        <w:start w:val="1"/>
        <w:numFmt w:val="decimal"/>
        <w:pStyle w:val="Level3"/>
        <w:lvlText w:val="%1.%2.%3"/>
        <w:lvlJc w:val="left"/>
        <w:pPr>
          <w:tabs>
            <w:tab w:val="num" w:pos="2041"/>
          </w:tabs>
          <w:ind w:left="2041" w:hanging="681"/>
        </w:pPr>
        <w:rPr>
          <w:rFonts w:hint="default"/>
          <w:b/>
          <w:i w:val="0"/>
          <w:sz w:val="17"/>
        </w:rPr>
      </w:lvl>
    </w:lvlOverride>
    <w:lvlOverride w:ilvl="3">
      <w:lvl w:ilvl="3">
        <w:start w:val="1"/>
        <w:numFmt w:val="lowerRoman"/>
        <w:pStyle w:val="Level4"/>
        <w:lvlText w:val="(%4)"/>
        <w:lvlJc w:val="left"/>
        <w:pPr>
          <w:tabs>
            <w:tab w:val="num" w:pos="2721"/>
          </w:tabs>
          <w:ind w:left="2721" w:hanging="680"/>
        </w:pPr>
        <w:rPr>
          <w:rFonts w:hint="default"/>
          <w:b w:val="0"/>
          <w:bCs w:val="0"/>
          <w:i w:val="0"/>
          <w:iCs w:val="0"/>
          <w:sz w:val="20"/>
        </w:rPr>
      </w:lvl>
    </w:lvlOverride>
    <w:lvlOverride w:ilvl="4">
      <w:lvl w:ilvl="4">
        <w:start w:val="1"/>
        <w:numFmt w:val="lowerLetter"/>
        <w:pStyle w:val="Level5"/>
        <w:lvlText w:val="(%5)"/>
        <w:lvlJc w:val="left"/>
        <w:pPr>
          <w:tabs>
            <w:tab w:val="num" w:pos="3402"/>
          </w:tabs>
          <w:ind w:left="3402" w:hanging="681"/>
        </w:pPr>
        <w:rPr>
          <w:rFonts w:hint="default"/>
          <w:b w:val="0"/>
          <w:bCs w:val="0"/>
          <w:i w:val="0"/>
          <w:iCs w:val="0"/>
          <w:sz w:val="20"/>
        </w:rPr>
      </w:lvl>
    </w:lvlOverride>
    <w:lvlOverride w:ilvl="5">
      <w:lvl w:ilvl="5">
        <w:start w:val="1"/>
        <w:numFmt w:val="upperRoman"/>
        <w:pStyle w:val="Level6"/>
        <w:lvlText w:val="(%6)"/>
        <w:lvlJc w:val="left"/>
        <w:pPr>
          <w:tabs>
            <w:tab w:val="num" w:pos="4082"/>
          </w:tabs>
          <w:ind w:left="4082" w:hanging="680"/>
        </w:pPr>
        <w:rPr>
          <w:rFonts w:hint="default"/>
          <w:sz w:val="20"/>
        </w:rPr>
      </w:lvl>
    </w:lvlOverride>
    <w:lvlOverride w:ilvl="6">
      <w:lvl w:ilvl="6">
        <w:start w:val="1"/>
        <w:numFmt w:val="none"/>
        <w:pStyle w:val="Level7"/>
        <w:lvlText w:val=""/>
        <w:lvlJc w:val="left"/>
        <w:pPr>
          <w:tabs>
            <w:tab w:val="num" w:pos="4082"/>
          </w:tabs>
          <w:ind w:left="4082" w:hanging="680"/>
        </w:pPr>
        <w:rPr>
          <w:rFonts w:hint="default"/>
        </w:rPr>
      </w:lvl>
    </w:lvlOverride>
    <w:lvlOverride w:ilvl="7">
      <w:lvl w:ilvl="7">
        <w:start w:val="1"/>
        <w:numFmt w:val="none"/>
        <w:pStyle w:val="Level8"/>
        <w:lvlText w:val=""/>
        <w:lvlJc w:val="left"/>
        <w:pPr>
          <w:tabs>
            <w:tab w:val="num" w:pos="4082"/>
          </w:tabs>
          <w:ind w:left="4082" w:hanging="680"/>
        </w:pPr>
        <w:rPr>
          <w:rFonts w:hint="default"/>
        </w:rPr>
      </w:lvl>
    </w:lvlOverride>
    <w:lvlOverride w:ilvl="8">
      <w:lvl w:ilvl="8">
        <w:start w:val="1"/>
        <w:numFmt w:val="none"/>
        <w:pStyle w:val="Level9"/>
        <w:lvlText w:val=""/>
        <w:lvlJc w:val="left"/>
        <w:pPr>
          <w:tabs>
            <w:tab w:val="num" w:pos="4082"/>
          </w:tabs>
          <w:ind w:left="4082" w:hanging="680"/>
        </w:pPr>
        <w:rPr>
          <w:rFonts w:hint="default"/>
        </w:rPr>
      </w:lvl>
    </w:lvlOverride>
  </w:num>
  <w:num w:numId="88" w16cid:durableId="1909265926">
    <w:abstractNumId w:val="15"/>
    <w:lvlOverride w:ilvl="0">
      <w:lvl w:ilvl="0">
        <w:start w:val="1"/>
        <w:numFmt w:val="decimal"/>
        <w:pStyle w:val="Level1"/>
        <w:lvlText w:val="%1"/>
        <w:lvlJc w:val="left"/>
        <w:pPr>
          <w:tabs>
            <w:tab w:val="num" w:pos="1360"/>
          </w:tabs>
          <w:ind w:left="1360" w:hanging="680"/>
        </w:pPr>
        <w:rPr>
          <w:rFonts w:hAnsi="Arial" w:cs="Times New Roman" w:hint="default"/>
          <w:b/>
          <w:i w:val="0"/>
          <w:sz w:val="22"/>
        </w:rPr>
      </w:lvl>
    </w:lvlOverride>
    <w:lvlOverride w:ilvl="1">
      <w:lvl w:ilvl="1">
        <w:start w:val="1"/>
        <w:numFmt w:val="decimal"/>
        <w:pStyle w:val="Level2"/>
        <w:lvlText w:val="%1.%2"/>
        <w:lvlJc w:val="left"/>
        <w:pPr>
          <w:tabs>
            <w:tab w:val="num" w:pos="1360"/>
          </w:tabs>
          <w:ind w:left="1360" w:hanging="680"/>
        </w:pPr>
        <w:rPr>
          <w:rFonts w:hint="default"/>
          <w:b/>
          <w:i w:val="0"/>
          <w:sz w:val="21"/>
        </w:rPr>
      </w:lvl>
    </w:lvlOverride>
    <w:lvlOverride w:ilvl="2">
      <w:lvl w:ilvl="2">
        <w:start w:val="1"/>
        <w:numFmt w:val="decimal"/>
        <w:pStyle w:val="Level3"/>
        <w:lvlText w:val="%1.%2.%3"/>
        <w:lvlJc w:val="left"/>
        <w:pPr>
          <w:tabs>
            <w:tab w:val="num" w:pos="2041"/>
          </w:tabs>
          <w:ind w:left="2041" w:hanging="681"/>
        </w:pPr>
        <w:rPr>
          <w:rFonts w:hint="default"/>
          <w:b/>
          <w:i w:val="0"/>
          <w:sz w:val="17"/>
        </w:rPr>
      </w:lvl>
    </w:lvlOverride>
    <w:lvlOverride w:ilvl="3">
      <w:lvl w:ilvl="3">
        <w:start w:val="1"/>
        <w:numFmt w:val="lowerRoman"/>
        <w:pStyle w:val="Level4"/>
        <w:lvlText w:val="(%4)"/>
        <w:lvlJc w:val="left"/>
        <w:pPr>
          <w:tabs>
            <w:tab w:val="num" w:pos="2721"/>
          </w:tabs>
          <w:ind w:left="2721" w:hanging="680"/>
        </w:pPr>
        <w:rPr>
          <w:rFonts w:hint="default"/>
          <w:b w:val="0"/>
          <w:bCs w:val="0"/>
          <w:i w:val="0"/>
          <w:iCs w:val="0"/>
          <w:sz w:val="20"/>
        </w:rPr>
      </w:lvl>
    </w:lvlOverride>
    <w:lvlOverride w:ilvl="4">
      <w:lvl w:ilvl="4">
        <w:start w:val="1"/>
        <w:numFmt w:val="lowerLetter"/>
        <w:pStyle w:val="Level5"/>
        <w:lvlText w:val="(%5)"/>
        <w:lvlJc w:val="left"/>
        <w:pPr>
          <w:tabs>
            <w:tab w:val="num" w:pos="3402"/>
          </w:tabs>
          <w:ind w:left="3402" w:hanging="681"/>
        </w:pPr>
        <w:rPr>
          <w:rFonts w:hint="default"/>
          <w:b w:val="0"/>
          <w:bCs w:val="0"/>
          <w:i w:val="0"/>
          <w:iCs w:val="0"/>
          <w:sz w:val="20"/>
        </w:rPr>
      </w:lvl>
    </w:lvlOverride>
    <w:lvlOverride w:ilvl="5">
      <w:lvl w:ilvl="5">
        <w:start w:val="1"/>
        <w:numFmt w:val="upperRoman"/>
        <w:pStyle w:val="Level6"/>
        <w:lvlText w:val="(%6)"/>
        <w:lvlJc w:val="left"/>
        <w:pPr>
          <w:tabs>
            <w:tab w:val="num" w:pos="4082"/>
          </w:tabs>
          <w:ind w:left="4082" w:hanging="680"/>
        </w:pPr>
        <w:rPr>
          <w:rFonts w:hint="default"/>
          <w:sz w:val="20"/>
        </w:rPr>
      </w:lvl>
    </w:lvlOverride>
    <w:lvlOverride w:ilvl="6">
      <w:lvl w:ilvl="6">
        <w:start w:val="1"/>
        <w:numFmt w:val="none"/>
        <w:pStyle w:val="Level7"/>
        <w:lvlText w:val=""/>
        <w:lvlJc w:val="left"/>
        <w:pPr>
          <w:tabs>
            <w:tab w:val="num" w:pos="4082"/>
          </w:tabs>
          <w:ind w:left="4082" w:hanging="680"/>
        </w:pPr>
        <w:rPr>
          <w:rFonts w:hint="default"/>
        </w:rPr>
      </w:lvl>
    </w:lvlOverride>
    <w:lvlOverride w:ilvl="7">
      <w:lvl w:ilvl="7">
        <w:start w:val="1"/>
        <w:numFmt w:val="none"/>
        <w:pStyle w:val="Level8"/>
        <w:lvlText w:val=""/>
        <w:lvlJc w:val="left"/>
        <w:pPr>
          <w:tabs>
            <w:tab w:val="num" w:pos="4082"/>
          </w:tabs>
          <w:ind w:left="4082" w:hanging="680"/>
        </w:pPr>
        <w:rPr>
          <w:rFonts w:hint="default"/>
        </w:rPr>
      </w:lvl>
    </w:lvlOverride>
    <w:lvlOverride w:ilvl="8">
      <w:lvl w:ilvl="8">
        <w:start w:val="1"/>
        <w:numFmt w:val="none"/>
        <w:pStyle w:val="Level9"/>
        <w:lvlText w:val=""/>
        <w:lvlJc w:val="left"/>
        <w:pPr>
          <w:tabs>
            <w:tab w:val="num" w:pos="4082"/>
          </w:tabs>
          <w:ind w:left="4082" w:hanging="680"/>
        </w:pPr>
        <w:rPr>
          <w:rFonts w:hint="default"/>
        </w:rPr>
      </w:lvl>
    </w:lvlOverride>
  </w:num>
  <w:num w:numId="89" w16cid:durableId="1740245658">
    <w:abstractNumId w:val="17"/>
  </w:num>
  <w:num w:numId="90" w16cid:durableId="592595938">
    <w:abstractNumId w:val="17"/>
  </w:num>
  <w:num w:numId="91" w16cid:durableId="1859734572">
    <w:abstractNumId w:val="17"/>
  </w:num>
  <w:num w:numId="92" w16cid:durableId="980228429">
    <w:abstractNumId w:val="17"/>
  </w:num>
  <w:num w:numId="93" w16cid:durableId="928194950">
    <w:abstractNumId w:val="17"/>
  </w:num>
  <w:num w:numId="94" w16cid:durableId="63379979">
    <w:abstractNumId w:val="17"/>
  </w:num>
  <w:num w:numId="95" w16cid:durableId="1893341731">
    <w:abstractNumId w:val="17"/>
  </w:num>
  <w:num w:numId="96" w16cid:durableId="32073980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16cid:durableId="167603495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16cid:durableId="2002275556">
    <w:abstractNumId w:val="17"/>
  </w:num>
  <w:num w:numId="99" w16cid:durableId="99109353">
    <w:abstractNumId w:val="17"/>
  </w:num>
  <w:num w:numId="100" w16cid:durableId="1542984456">
    <w:abstractNumId w:val="17"/>
  </w:num>
  <w:num w:numId="101" w16cid:durableId="162276206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16cid:durableId="15276747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16cid:durableId="810100226">
    <w:abstractNumId w:val="17"/>
  </w:num>
  <w:num w:numId="104" w16cid:durableId="1783456275">
    <w:abstractNumId w:val="17"/>
  </w:num>
  <w:num w:numId="105" w16cid:durableId="275256872">
    <w:abstractNumId w:val="17"/>
  </w:num>
  <w:num w:numId="106" w16cid:durableId="119191611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16cid:durableId="1904675520">
    <w:abstractNumId w:val="17"/>
  </w:num>
  <w:num w:numId="108" w16cid:durableId="510224931">
    <w:abstractNumId w:val="17"/>
  </w:num>
  <w:num w:numId="109" w16cid:durableId="1018117290">
    <w:abstractNumId w:val="17"/>
  </w:num>
  <w:num w:numId="110" w16cid:durableId="242034566">
    <w:abstractNumId w:val="17"/>
  </w:num>
  <w:num w:numId="111" w16cid:durableId="95105470">
    <w:abstractNumId w:val="17"/>
  </w:num>
  <w:num w:numId="112" w16cid:durableId="1624966327">
    <w:abstractNumId w:val="17"/>
  </w:num>
  <w:num w:numId="113" w16cid:durableId="198326326">
    <w:abstractNumId w:val="17"/>
  </w:num>
  <w:num w:numId="114" w16cid:durableId="1511916549">
    <w:abstractNumId w:val="17"/>
  </w:num>
  <w:num w:numId="115" w16cid:durableId="208969037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6" w16cid:durableId="381948300">
    <w:abstractNumId w:val="12"/>
  </w:num>
  <w:num w:numId="117" w16cid:durableId="1623221059">
    <w:abstractNumId w:val="12"/>
  </w:num>
  <w:num w:numId="118" w16cid:durableId="1234582126">
    <w:abstractNumId w:val="12"/>
  </w:num>
  <w:num w:numId="119" w16cid:durableId="403182941">
    <w:abstractNumId w:val="12"/>
  </w:num>
  <w:num w:numId="120" w16cid:durableId="1735934939">
    <w:abstractNumId w:val="12"/>
  </w:num>
  <w:num w:numId="121" w16cid:durableId="62974797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2" w16cid:durableId="137947781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3" w16cid:durableId="971138396">
    <w:abstractNumId w:val="15"/>
    <w:lvlOverride w:ilvl="0">
      <w:lvl w:ilvl="0">
        <w:start w:val="1"/>
        <w:numFmt w:val="decimal"/>
        <w:pStyle w:val="Level1"/>
        <w:lvlText w:val="%1"/>
        <w:lvlJc w:val="left"/>
        <w:pPr>
          <w:tabs>
            <w:tab w:val="num" w:pos="1360"/>
          </w:tabs>
          <w:ind w:left="1360" w:hanging="680"/>
        </w:pPr>
        <w:rPr>
          <w:rFonts w:hAnsi="Arial" w:cs="Times New Roman" w:hint="default"/>
          <w:b/>
          <w:i w:val="0"/>
          <w:sz w:val="22"/>
        </w:rPr>
      </w:lvl>
    </w:lvlOverride>
    <w:lvlOverride w:ilvl="1">
      <w:lvl w:ilvl="1">
        <w:start w:val="1"/>
        <w:numFmt w:val="decimal"/>
        <w:pStyle w:val="Level2"/>
        <w:lvlText w:val="%1.%2"/>
        <w:lvlJc w:val="left"/>
        <w:pPr>
          <w:tabs>
            <w:tab w:val="num" w:pos="1360"/>
          </w:tabs>
          <w:ind w:left="1360" w:hanging="680"/>
        </w:pPr>
        <w:rPr>
          <w:rFonts w:hint="default"/>
          <w:b/>
          <w:i w:val="0"/>
          <w:sz w:val="21"/>
        </w:rPr>
      </w:lvl>
    </w:lvlOverride>
    <w:lvlOverride w:ilvl="2">
      <w:lvl w:ilvl="2">
        <w:start w:val="1"/>
        <w:numFmt w:val="decimal"/>
        <w:pStyle w:val="Level3"/>
        <w:lvlText w:val="%1.%2.%3"/>
        <w:lvlJc w:val="left"/>
        <w:pPr>
          <w:tabs>
            <w:tab w:val="num" w:pos="2041"/>
          </w:tabs>
          <w:ind w:left="2041" w:hanging="681"/>
        </w:pPr>
        <w:rPr>
          <w:rFonts w:hint="default"/>
          <w:b/>
          <w:i w:val="0"/>
          <w:sz w:val="17"/>
        </w:rPr>
      </w:lvl>
    </w:lvlOverride>
    <w:lvlOverride w:ilvl="3">
      <w:lvl w:ilvl="3">
        <w:start w:val="1"/>
        <w:numFmt w:val="lowerRoman"/>
        <w:pStyle w:val="Level4"/>
        <w:lvlText w:val="(%4)"/>
        <w:lvlJc w:val="left"/>
        <w:pPr>
          <w:tabs>
            <w:tab w:val="num" w:pos="2721"/>
          </w:tabs>
          <w:ind w:left="2721" w:hanging="680"/>
        </w:pPr>
        <w:rPr>
          <w:rFonts w:hint="default"/>
          <w:b w:val="0"/>
          <w:bCs w:val="0"/>
          <w:i w:val="0"/>
          <w:iCs w:val="0"/>
          <w:sz w:val="20"/>
        </w:rPr>
      </w:lvl>
    </w:lvlOverride>
    <w:lvlOverride w:ilvl="4">
      <w:lvl w:ilvl="4">
        <w:start w:val="1"/>
        <w:numFmt w:val="lowerLetter"/>
        <w:pStyle w:val="Level5"/>
        <w:lvlText w:val="(%5)"/>
        <w:lvlJc w:val="left"/>
        <w:pPr>
          <w:tabs>
            <w:tab w:val="num" w:pos="3402"/>
          </w:tabs>
          <w:ind w:left="3402" w:hanging="681"/>
        </w:pPr>
        <w:rPr>
          <w:rFonts w:hint="default"/>
          <w:b w:val="0"/>
          <w:bCs w:val="0"/>
          <w:i w:val="0"/>
          <w:iCs w:val="0"/>
          <w:sz w:val="20"/>
        </w:rPr>
      </w:lvl>
    </w:lvlOverride>
    <w:lvlOverride w:ilvl="5">
      <w:lvl w:ilvl="5">
        <w:start w:val="1"/>
        <w:numFmt w:val="upperRoman"/>
        <w:pStyle w:val="Level6"/>
        <w:lvlText w:val="(%6)"/>
        <w:lvlJc w:val="left"/>
        <w:pPr>
          <w:tabs>
            <w:tab w:val="num" w:pos="4082"/>
          </w:tabs>
          <w:ind w:left="4082" w:hanging="680"/>
        </w:pPr>
        <w:rPr>
          <w:rFonts w:hint="default"/>
          <w:sz w:val="20"/>
        </w:rPr>
      </w:lvl>
    </w:lvlOverride>
    <w:lvlOverride w:ilvl="6">
      <w:lvl w:ilvl="6">
        <w:start w:val="1"/>
        <w:numFmt w:val="none"/>
        <w:pStyle w:val="Level7"/>
        <w:lvlText w:val=""/>
        <w:lvlJc w:val="left"/>
        <w:pPr>
          <w:tabs>
            <w:tab w:val="num" w:pos="4082"/>
          </w:tabs>
          <w:ind w:left="4082" w:hanging="680"/>
        </w:pPr>
        <w:rPr>
          <w:rFonts w:hint="default"/>
        </w:rPr>
      </w:lvl>
    </w:lvlOverride>
    <w:lvlOverride w:ilvl="7">
      <w:lvl w:ilvl="7">
        <w:start w:val="1"/>
        <w:numFmt w:val="none"/>
        <w:pStyle w:val="Level8"/>
        <w:lvlText w:val=""/>
        <w:lvlJc w:val="left"/>
        <w:pPr>
          <w:tabs>
            <w:tab w:val="num" w:pos="4082"/>
          </w:tabs>
          <w:ind w:left="4082" w:hanging="680"/>
        </w:pPr>
        <w:rPr>
          <w:rFonts w:hint="default"/>
        </w:rPr>
      </w:lvl>
    </w:lvlOverride>
    <w:lvlOverride w:ilvl="8">
      <w:lvl w:ilvl="8">
        <w:start w:val="1"/>
        <w:numFmt w:val="none"/>
        <w:pStyle w:val="Level9"/>
        <w:lvlText w:val=""/>
        <w:lvlJc w:val="left"/>
        <w:pPr>
          <w:tabs>
            <w:tab w:val="num" w:pos="4082"/>
          </w:tabs>
          <w:ind w:left="4082" w:hanging="680"/>
        </w:pPr>
        <w:rPr>
          <w:rFonts w:hint="default"/>
        </w:rPr>
      </w:lvl>
    </w:lvlOverride>
  </w:num>
  <w:num w:numId="124" w16cid:durableId="1961446650">
    <w:abstractNumId w:val="15"/>
    <w:lvlOverride w:ilvl="0">
      <w:lvl w:ilvl="0">
        <w:start w:val="1"/>
        <w:numFmt w:val="decimal"/>
        <w:pStyle w:val="Level1"/>
        <w:lvlText w:val="%1"/>
        <w:lvlJc w:val="left"/>
        <w:pPr>
          <w:tabs>
            <w:tab w:val="num" w:pos="1360"/>
          </w:tabs>
          <w:ind w:left="1360" w:hanging="680"/>
        </w:pPr>
        <w:rPr>
          <w:rFonts w:hAnsi="Arial" w:cs="Times New Roman" w:hint="default"/>
          <w:b/>
          <w:i w:val="0"/>
          <w:sz w:val="22"/>
        </w:rPr>
      </w:lvl>
    </w:lvlOverride>
    <w:lvlOverride w:ilvl="1">
      <w:lvl w:ilvl="1">
        <w:start w:val="1"/>
        <w:numFmt w:val="decimal"/>
        <w:pStyle w:val="Level2"/>
        <w:lvlText w:val="%1.%2"/>
        <w:lvlJc w:val="left"/>
        <w:pPr>
          <w:tabs>
            <w:tab w:val="num" w:pos="1360"/>
          </w:tabs>
          <w:ind w:left="1360" w:hanging="680"/>
        </w:pPr>
        <w:rPr>
          <w:rFonts w:hint="default"/>
          <w:b/>
          <w:i w:val="0"/>
          <w:sz w:val="21"/>
        </w:rPr>
      </w:lvl>
    </w:lvlOverride>
    <w:lvlOverride w:ilvl="2">
      <w:lvl w:ilvl="2">
        <w:start w:val="1"/>
        <w:numFmt w:val="decimal"/>
        <w:pStyle w:val="Level3"/>
        <w:lvlText w:val="%1.%2.%3"/>
        <w:lvlJc w:val="left"/>
        <w:pPr>
          <w:tabs>
            <w:tab w:val="num" w:pos="2041"/>
          </w:tabs>
          <w:ind w:left="2041" w:hanging="681"/>
        </w:pPr>
        <w:rPr>
          <w:rFonts w:hint="default"/>
          <w:b/>
          <w:i w:val="0"/>
          <w:sz w:val="17"/>
        </w:rPr>
      </w:lvl>
    </w:lvlOverride>
    <w:lvlOverride w:ilvl="3">
      <w:lvl w:ilvl="3">
        <w:start w:val="1"/>
        <w:numFmt w:val="lowerRoman"/>
        <w:pStyle w:val="Level4"/>
        <w:lvlText w:val="(%4)"/>
        <w:lvlJc w:val="left"/>
        <w:pPr>
          <w:tabs>
            <w:tab w:val="num" w:pos="2721"/>
          </w:tabs>
          <w:ind w:left="2721" w:hanging="680"/>
        </w:pPr>
        <w:rPr>
          <w:rFonts w:hint="default"/>
          <w:b w:val="0"/>
          <w:bCs w:val="0"/>
          <w:i w:val="0"/>
          <w:iCs w:val="0"/>
          <w:sz w:val="20"/>
        </w:rPr>
      </w:lvl>
    </w:lvlOverride>
    <w:lvlOverride w:ilvl="4">
      <w:lvl w:ilvl="4">
        <w:start w:val="1"/>
        <w:numFmt w:val="lowerLetter"/>
        <w:pStyle w:val="Level5"/>
        <w:lvlText w:val="(%5)"/>
        <w:lvlJc w:val="left"/>
        <w:pPr>
          <w:tabs>
            <w:tab w:val="num" w:pos="3402"/>
          </w:tabs>
          <w:ind w:left="3402" w:hanging="681"/>
        </w:pPr>
        <w:rPr>
          <w:rFonts w:hint="default"/>
          <w:b w:val="0"/>
          <w:bCs w:val="0"/>
          <w:i w:val="0"/>
          <w:iCs w:val="0"/>
          <w:sz w:val="20"/>
        </w:rPr>
      </w:lvl>
    </w:lvlOverride>
    <w:lvlOverride w:ilvl="5">
      <w:lvl w:ilvl="5">
        <w:start w:val="1"/>
        <w:numFmt w:val="upperRoman"/>
        <w:pStyle w:val="Level6"/>
        <w:lvlText w:val="(%6)"/>
        <w:lvlJc w:val="left"/>
        <w:pPr>
          <w:tabs>
            <w:tab w:val="num" w:pos="4082"/>
          </w:tabs>
          <w:ind w:left="4082" w:hanging="680"/>
        </w:pPr>
        <w:rPr>
          <w:rFonts w:hint="default"/>
          <w:sz w:val="20"/>
        </w:rPr>
      </w:lvl>
    </w:lvlOverride>
    <w:lvlOverride w:ilvl="6">
      <w:lvl w:ilvl="6">
        <w:start w:val="1"/>
        <w:numFmt w:val="none"/>
        <w:pStyle w:val="Level7"/>
        <w:lvlText w:val=""/>
        <w:lvlJc w:val="left"/>
        <w:pPr>
          <w:tabs>
            <w:tab w:val="num" w:pos="4082"/>
          </w:tabs>
          <w:ind w:left="4082" w:hanging="680"/>
        </w:pPr>
        <w:rPr>
          <w:rFonts w:hint="default"/>
        </w:rPr>
      </w:lvl>
    </w:lvlOverride>
    <w:lvlOverride w:ilvl="7">
      <w:lvl w:ilvl="7">
        <w:start w:val="1"/>
        <w:numFmt w:val="none"/>
        <w:pStyle w:val="Level8"/>
        <w:lvlText w:val=""/>
        <w:lvlJc w:val="left"/>
        <w:pPr>
          <w:tabs>
            <w:tab w:val="num" w:pos="4082"/>
          </w:tabs>
          <w:ind w:left="4082" w:hanging="680"/>
        </w:pPr>
        <w:rPr>
          <w:rFonts w:hint="default"/>
        </w:rPr>
      </w:lvl>
    </w:lvlOverride>
    <w:lvlOverride w:ilvl="8">
      <w:lvl w:ilvl="8">
        <w:start w:val="1"/>
        <w:numFmt w:val="none"/>
        <w:pStyle w:val="Level9"/>
        <w:lvlText w:val=""/>
        <w:lvlJc w:val="left"/>
        <w:pPr>
          <w:tabs>
            <w:tab w:val="num" w:pos="4082"/>
          </w:tabs>
          <w:ind w:left="4082" w:hanging="680"/>
        </w:pPr>
        <w:rPr>
          <w:rFonts w:hint="default"/>
        </w:rPr>
      </w:lvl>
    </w:lvlOverride>
  </w:num>
  <w:num w:numId="125" w16cid:durableId="77987840">
    <w:abstractNumId w:val="15"/>
    <w:lvlOverride w:ilvl="0">
      <w:lvl w:ilvl="0">
        <w:start w:val="1"/>
        <w:numFmt w:val="decimal"/>
        <w:pStyle w:val="Level1"/>
        <w:lvlText w:val="%1"/>
        <w:lvlJc w:val="left"/>
        <w:pPr>
          <w:tabs>
            <w:tab w:val="num" w:pos="1360"/>
          </w:tabs>
          <w:ind w:left="1360" w:hanging="680"/>
        </w:pPr>
        <w:rPr>
          <w:rFonts w:hAnsi="Arial" w:cs="Times New Roman" w:hint="default"/>
          <w:b/>
          <w:i w:val="0"/>
          <w:sz w:val="22"/>
        </w:rPr>
      </w:lvl>
    </w:lvlOverride>
    <w:lvlOverride w:ilvl="1">
      <w:lvl w:ilvl="1">
        <w:start w:val="1"/>
        <w:numFmt w:val="decimal"/>
        <w:pStyle w:val="Level2"/>
        <w:lvlText w:val="%1.%2"/>
        <w:lvlJc w:val="left"/>
        <w:pPr>
          <w:tabs>
            <w:tab w:val="num" w:pos="1360"/>
          </w:tabs>
          <w:ind w:left="1360" w:hanging="680"/>
        </w:pPr>
        <w:rPr>
          <w:rFonts w:hint="default"/>
          <w:b/>
          <w:i w:val="0"/>
          <w:sz w:val="21"/>
        </w:rPr>
      </w:lvl>
    </w:lvlOverride>
    <w:lvlOverride w:ilvl="2">
      <w:lvl w:ilvl="2">
        <w:start w:val="1"/>
        <w:numFmt w:val="decimal"/>
        <w:pStyle w:val="Level3"/>
        <w:lvlText w:val="%1.%2.%3"/>
        <w:lvlJc w:val="left"/>
        <w:pPr>
          <w:tabs>
            <w:tab w:val="num" w:pos="2041"/>
          </w:tabs>
          <w:ind w:left="2041" w:hanging="681"/>
        </w:pPr>
        <w:rPr>
          <w:rFonts w:hint="default"/>
          <w:b/>
          <w:i w:val="0"/>
          <w:sz w:val="17"/>
        </w:rPr>
      </w:lvl>
    </w:lvlOverride>
    <w:lvlOverride w:ilvl="3">
      <w:lvl w:ilvl="3">
        <w:start w:val="1"/>
        <w:numFmt w:val="lowerRoman"/>
        <w:pStyle w:val="Level4"/>
        <w:lvlText w:val="(%4)"/>
        <w:lvlJc w:val="left"/>
        <w:pPr>
          <w:tabs>
            <w:tab w:val="num" w:pos="2721"/>
          </w:tabs>
          <w:ind w:left="2721" w:hanging="680"/>
        </w:pPr>
        <w:rPr>
          <w:rFonts w:hint="default"/>
          <w:b w:val="0"/>
          <w:bCs w:val="0"/>
          <w:i w:val="0"/>
          <w:iCs w:val="0"/>
          <w:sz w:val="20"/>
        </w:rPr>
      </w:lvl>
    </w:lvlOverride>
    <w:lvlOverride w:ilvl="4">
      <w:lvl w:ilvl="4">
        <w:start w:val="1"/>
        <w:numFmt w:val="lowerLetter"/>
        <w:pStyle w:val="Level5"/>
        <w:lvlText w:val="(%5)"/>
        <w:lvlJc w:val="left"/>
        <w:pPr>
          <w:tabs>
            <w:tab w:val="num" w:pos="3402"/>
          </w:tabs>
          <w:ind w:left="3402" w:hanging="681"/>
        </w:pPr>
        <w:rPr>
          <w:rFonts w:hint="default"/>
          <w:b w:val="0"/>
          <w:bCs w:val="0"/>
          <w:i w:val="0"/>
          <w:iCs w:val="0"/>
          <w:sz w:val="20"/>
        </w:rPr>
      </w:lvl>
    </w:lvlOverride>
    <w:lvlOverride w:ilvl="5">
      <w:lvl w:ilvl="5">
        <w:start w:val="1"/>
        <w:numFmt w:val="upperRoman"/>
        <w:pStyle w:val="Level6"/>
        <w:lvlText w:val="(%6)"/>
        <w:lvlJc w:val="left"/>
        <w:pPr>
          <w:tabs>
            <w:tab w:val="num" w:pos="4082"/>
          </w:tabs>
          <w:ind w:left="4082" w:hanging="680"/>
        </w:pPr>
        <w:rPr>
          <w:rFonts w:hint="default"/>
          <w:sz w:val="20"/>
        </w:rPr>
      </w:lvl>
    </w:lvlOverride>
    <w:lvlOverride w:ilvl="6">
      <w:lvl w:ilvl="6">
        <w:start w:val="1"/>
        <w:numFmt w:val="none"/>
        <w:pStyle w:val="Level7"/>
        <w:lvlText w:val=""/>
        <w:lvlJc w:val="left"/>
        <w:pPr>
          <w:tabs>
            <w:tab w:val="num" w:pos="4082"/>
          </w:tabs>
          <w:ind w:left="4082" w:hanging="680"/>
        </w:pPr>
        <w:rPr>
          <w:rFonts w:hint="default"/>
        </w:rPr>
      </w:lvl>
    </w:lvlOverride>
    <w:lvlOverride w:ilvl="7">
      <w:lvl w:ilvl="7">
        <w:start w:val="1"/>
        <w:numFmt w:val="none"/>
        <w:pStyle w:val="Level8"/>
        <w:lvlText w:val=""/>
        <w:lvlJc w:val="left"/>
        <w:pPr>
          <w:tabs>
            <w:tab w:val="num" w:pos="4082"/>
          </w:tabs>
          <w:ind w:left="4082" w:hanging="680"/>
        </w:pPr>
        <w:rPr>
          <w:rFonts w:hint="default"/>
        </w:rPr>
      </w:lvl>
    </w:lvlOverride>
    <w:lvlOverride w:ilvl="8">
      <w:lvl w:ilvl="8">
        <w:start w:val="1"/>
        <w:numFmt w:val="none"/>
        <w:pStyle w:val="Level9"/>
        <w:lvlText w:val=""/>
        <w:lvlJc w:val="left"/>
        <w:pPr>
          <w:tabs>
            <w:tab w:val="num" w:pos="4082"/>
          </w:tabs>
          <w:ind w:left="4082" w:hanging="680"/>
        </w:pPr>
        <w:rPr>
          <w:rFonts w:hint="default"/>
        </w:rPr>
      </w:lvl>
    </w:lvlOverride>
  </w:num>
  <w:num w:numId="126" w16cid:durableId="167330336">
    <w:abstractNumId w:val="15"/>
    <w:lvlOverride w:ilvl="0">
      <w:lvl w:ilvl="0">
        <w:start w:val="1"/>
        <w:numFmt w:val="decimal"/>
        <w:pStyle w:val="Level1"/>
        <w:lvlText w:val="%1"/>
        <w:lvlJc w:val="left"/>
        <w:pPr>
          <w:tabs>
            <w:tab w:val="num" w:pos="1360"/>
          </w:tabs>
          <w:ind w:left="1360" w:hanging="680"/>
        </w:pPr>
        <w:rPr>
          <w:rFonts w:hAnsi="Arial" w:cs="Times New Roman" w:hint="default"/>
          <w:b/>
          <w:i w:val="0"/>
          <w:sz w:val="22"/>
        </w:rPr>
      </w:lvl>
    </w:lvlOverride>
    <w:lvlOverride w:ilvl="1">
      <w:lvl w:ilvl="1">
        <w:start w:val="1"/>
        <w:numFmt w:val="decimal"/>
        <w:pStyle w:val="Level2"/>
        <w:lvlText w:val="%1.%2"/>
        <w:lvlJc w:val="left"/>
        <w:pPr>
          <w:tabs>
            <w:tab w:val="num" w:pos="1360"/>
          </w:tabs>
          <w:ind w:left="1360" w:hanging="680"/>
        </w:pPr>
        <w:rPr>
          <w:rFonts w:hint="default"/>
          <w:b/>
          <w:i w:val="0"/>
          <w:sz w:val="21"/>
        </w:rPr>
      </w:lvl>
    </w:lvlOverride>
    <w:lvlOverride w:ilvl="2">
      <w:lvl w:ilvl="2">
        <w:start w:val="1"/>
        <w:numFmt w:val="decimal"/>
        <w:pStyle w:val="Level3"/>
        <w:lvlText w:val="%1.%2.%3"/>
        <w:lvlJc w:val="left"/>
        <w:pPr>
          <w:tabs>
            <w:tab w:val="num" w:pos="2041"/>
          </w:tabs>
          <w:ind w:left="2041" w:hanging="681"/>
        </w:pPr>
        <w:rPr>
          <w:rFonts w:hint="default"/>
          <w:b/>
          <w:i w:val="0"/>
          <w:sz w:val="17"/>
        </w:rPr>
      </w:lvl>
    </w:lvlOverride>
    <w:lvlOverride w:ilvl="3">
      <w:lvl w:ilvl="3">
        <w:start w:val="1"/>
        <w:numFmt w:val="lowerRoman"/>
        <w:pStyle w:val="Level4"/>
        <w:lvlText w:val="(%4)"/>
        <w:lvlJc w:val="left"/>
        <w:pPr>
          <w:tabs>
            <w:tab w:val="num" w:pos="2721"/>
          </w:tabs>
          <w:ind w:left="2721" w:hanging="680"/>
        </w:pPr>
        <w:rPr>
          <w:rFonts w:hint="default"/>
          <w:b w:val="0"/>
          <w:bCs w:val="0"/>
          <w:i w:val="0"/>
          <w:iCs w:val="0"/>
          <w:sz w:val="20"/>
        </w:rPr>
      </w:lvl>
    </w:lvlOverride>
    <w:lvlOverride w:ilvl="4">
      <w:lvl w:ilvl="4">
        <w:start w:val="1"/>
        <w:numFmt w:val="lowerLetter"/>
        <w:pStyle w:val="Level5"/>
        <w:lvlText w:val="(%5)"/>
        <w:lvlJc w:val="left"/>
        <w:pPr>
          <w:tabs>
            <w:tab w:val="num" w:pos="3402"/>
          </w:tabs>
          <w:ind w:left="3402" w:hanging="681"/>
        </w:pPr>
        <w:rPr>
          <w:rFonts w:hint="default"/>
          <w:b w:val="0"/>
          <w:bCs w:val="0"/>
          <w:i w:val="0"/>
          <w:iCs w:val="0"/>
          <w:sz w:val="20"/>
        </w:rPr>
      </w:lvl>
    </w:lvlOverride>
    <w:lvlOverride w:ilvl="5">
      <w:lvl w:ilvl="5">
        <w:start w:val="1"/>
        <w:numFmt w:val="upperRoman"/>
        <w:pStyle w:val="Level6"/>
        <w:lvlText w:val="(%6)"/>
        <w:lvlJc w:val="left"/>
        <w:pPr>
          <w:tabs>
            <w:tab w:val="num" w:pos="4082"/>
          </w:tabs>
          <w:ind w:left="4082" w:hanging="680"/>
        </w:pPr>
        <w:rPr>
          <w:rFonts w:hint="default"/>
          <w:sz w:val="20"/>
        </w:rPr>
      </w:lvl>
    </w:lvlOverride>
    <w:lvlOverride w:ilvl="6">
      <w:lvl w:ilvl="6">
        <w:start w:val="1"/>
        <w:numFmt w:val="none"/>
        <w:pStyle w:val="Level7"/>
        <w:lvlText w:val=""/>
        <w:lvlJc w:val="left"/>
        <w:pPr>
          <w:tabs>
            <w:tab w:val="num" w:pos="4082"/>
          </w:tabs>
          <w:ind w:left="4082" w:hanging="680"/>
        </w:pPr>
        <w:rPr>
          <w:rFonts w:hint="default"/>
        </w:rPr>
      </w:lvl>
    </w:lvlOverride>
    <w:lvlOverride w:ilvl="7">
      <w:lvl w:ilvl="7">
        <w:start w:val="1"/>
        <w:numFmt w:val="none"/>
        <w:pStyle w:val="Level8"/>
        <w:lvlText w:val=""/>
        <w:lvlJc w:val="left"/>
        <w:pPr>
          <w:tabs>
            <w:tab w:val="num" w:pos="4082"/>
          </w:tabs>
          <w:ind w:left="4082" w:hanging="680"/>
        </w:pPr>
        <w:rPr>
          <w:rFonts w:hint="default"/>
        </w:rPr>
      </w:lvl>
    </w:lvlOverride>
    <w:lvlOverride w:ilvl="8">
      <w:lvl w:ilvl="8">
        <w:start w:val="1"/>
        <w:numFmt w:val="none"/>
        <w:pStyle w:val="Level9"/>
        <w:lvlText w:val=""/>
        <w:lvlJc w:val="left"/>
        <w:pPr>
          <w:tabs>
            <w:tab w:val="num" w:pos="4082"/>
          </w:tabs>
          <w:ind w:left="4082" w:hanging="680"/>
        </w:pPr>
        <w:rPr>
          <w:rFonts w:hint="default"/>
        </w:rPr>
      </w:lvl>
    </w:lvlOverride>
  </w:num>
  <w:num w:numId="127" w16cid:durableId="1741050396">
    <w:abstractNumId w:val="15"/>
    <w:lvlOverride w:ilvl="0">
      <w:lvl w:ilvl="0">
        <w:start w:val="1"/>
        <w:numFmt w:val="decimal"/>
        <w:pStyle w:val="Level1"/>
        <w:lvlText w:val="%1"/>
        <w:lvlJc w:val="left"/>
        <w:pPr>
          <w:tabs>
            <w:tab w:val="num" w:pos="1360"/>
          </w:tabs>
          <w:ind w:left="1360" w:hanging="680"/>
        </w:pPr>
        <w:rPr>
          <w:rFonts w:hAnsi="Arial" w:cs="Times New Roman" w:hint="default"/>
          <w:b/>
          <w:i w:val="0"/>
          <w:sz w:val="22"/>
        </w:rPr>
      </w:lvl>
    </w:lvlOverride>
    <w:lvlOverride w:ilvl="1">
      <w:lvl w:ilvl="1">
        <w:start w:val="1"/>
        <w:numFmt w:val="decimal"/>
        <w:pStyle w:val="Level2"/>
        <w:lvlText w:val="%1.%2"/>
        <w:lvlJc w:val="left"/>
        <w:pPr>
          <w:tabs>
            <w:tab w:val="num" w:pos="1360"/>
          </w:tabs>
          <w:ind w:left="1360" w:hanging="680"/>
        </w:pPr>
        <w:rPr>
          <w:rFonts w:hint="default"/>
          <w:b/>
          <w:i w:val="0"/>
          <w:sz w:val="21"/>
        </w:rPr>
      </w:lvl>
    </w:lvlOverride>
    <w:lvlOverride w:ilvl="2">
      <w:lvl w:ilvl="2">
        <w:start w:val="1"/>
        <w:numFmt w:val="decimal"/>
        <w:pStyle w:val="Level3"/>
        <w:lvlText w:val="%1.%2.%3"/>
        <w:lvlJc w:val="left"/>
        <w:pPr>
          <w:tabs>
            <w:tab w:val="num" w:pos="2041"/>
          </w:tabs>
          <w:ind w:left="2041" w:hanging="681"/>
        </w:pPr>
        <w:rPr>
          <w:rFonts w:hint="default"/>
          <w:b/>
          <w:i w:val="0"/>
          <w:sz w:val="17"/>
        </w:rPr>
      </w:lvl>
    </w:lvlOverride>
    <w:lvlOverride w:ilvl="3">
      <w:lvl w:ilvl="3">
        <w:start w:val="1"/>
        <w:numFmt w:val="lowerRoman"/>
        <w:pStyle w:val="Level4"/>
        <w:lvlText w:val="(%4)"/>
        <w:lvlJc w:val="left"/>
        <w:pPr>
          <w:tabs>
            <w:tab w:val="num" w:pos="2721"/>
          </w:tabs>
          <w:ind w:left="2721" w:hanging="680"/>
        </w:pPr>
        <w:rPr>
          <w:rFonts w:hint="default"/>
          <w:b w:val="0"/>
          <w:bCs w:val="0"/>
          <w:i w:val="0"/>
          <w:iCs w:val="0"/>
          <w:sz w:val="20"/>
        </w:rPr>
      </w:lvl>
    </w:lvlOverride>
    <w:lvlOverride w:ilvl="4">
      <w:lvl w:ilvl="4">
        <w:start w:val="1"/>
        <w:numFmt w:val="lowerLetter"/>
        <w:pStyle w:val="Level5"/>
        <w:lvlText w:val="(%5)"/>
        <w:lvlJc w:val="left"/>
        <w:pPr>
          <w:tabs>
            <w:tab w:val="num" w:pos="3402"/>
          </w:tabs>
          <w:ind w:left="3402" w:hanging="681"/>
        </w:pPr>
        <w:rPr>
          <w:rFonts w:hint="default"/>
          <w:b w:val="0"/>
          <w:bCs w:val="0"/>
          <w:i w:val="0"/>
          <w:iCs w:val="0"/>
          <w:sz w:val="20"/>
        </w:rPr>
      </w:lvl>
    </w:lvlOverride>
    <w:lvlOverride w:ilvl="5">
      <w:lvl w:ilvl="5">
        <w:start w:val="1"/>
        <w:numFmt w:val="upperRoman"/>
        <w:pStyle w:val="Level6"/>
        <w:lvlText w:val="(%6)"/>
        <w:lvlJc w:val="left"/>
        <w:pPr>
          <w:tabs>
            <w:tab w:val="num" w:pos="4082"/>
          </w:tabs>
          <w:ind w:left="4082" w:hanging="680"/>
        </w:pPr>
        <w:rPr>
          <w:rFonts w:hint="default"/>
          <w:sz w:val="20"/>
        </w:rPr>
      </w:lvl>
    </w:lvlOverride>
    <w:lvlOverride w:ilvl="6">
      <w:lvl w:ilvl="6">
        <w:start w:val="1"/>
        <w:numFmt w:val="none"/>
        <w:pStyle w:val="Level7"/>
        <w:lvlText w:val=""/>
        <w:lvlJc w:val="left"/>
        <w:pPr>
          <w:tabs>
            <w:tab w:val="num" w:pos="4082"/>
          </w:tabs>
          <w:ind w:left="4082" w:hanging="680"/>
        </w:pPr>
        <w:rPr>
          <w:rFonts w:hint="default"/>
        </w:rPr>
      </w:lvl>
    </w:lvlOverride>
    <w:lvlOverride w:ilvl="7">
      <w:lvl w:ilvl="7">
        <w:start w:val="1"/>
        <w:numFmt w:val="none"/>
        <w:pStyle w:val="Level8"/>
        <w:lvlText w:val=""/>
        <w:lvlJc w:val="left"/>
        <w:pPr>
          <w:tabs>
            <w:tab w:val="num" w:pos="4082"/>
          </w:tabs>
          <w:ind w:left="4082" w:hanging="680"/>
        </w:pPr>
        <w:rPr>
          <w:rFonts w:hint="default"/>
        </w:rPr>
      </w:lvl>
    </w:lvlOverride>
    <w:lvlOverride w:ilvl="8">
      <w:lvl w:ilvl="8">
        <w:start w:val="1"/>
        <w:numFmt w:val="none"/>
        <w:pStyle w:val="Level9"/>
        <w:lvlText w:val=""/>
        <w:lvlJc w:val="left"/>
        <w:pPr>
          <w:tabs>
            <w:tab w:val="num" w:pos="4082"/>
          </w:tabs>
          <w:ind w:left="4082" w:hanging="680"/>
        </w:pPr>
        <w:rPr>
          <w:rFonts w:hint="default"/>
        </w:rPr>
      </w:lvl>
    </w:lvlOverride>
  </w:num>
  <w:num w:numId="128" w16cid:durableId="2052414142">
    <w:abstractNumId w:val="15"/>
    <w:lvlOverride w:ilvl="0">
      <w:lvl w:ilvl="0">
        <w:start w:val="1"/>
        <w:numFmt w:val="decimal"/>
        <w:pStyle w:val="Level1"/>
        <w:lvlText w:val="%1"/>
        <w:lvlJc w:val="left"/>
        <w:pPr>
          <w:tabs>
            <w:tab w:val="num" w:pos="1360"/>
          </w:tabs>
          <w:ind w:left="1360" w:hanging="680"/>
        </w:pPr>
        <w:rPr>
          <w:rFonts w:hAnsi="Arial" w:cs="Times New Roman" w:hint="default"/>
          <w:b/>
          <w:i w:val="0"/>
          <w:sz w:val="22"/>
        </w:rPr>
      </w:lvl>
    </w:lvlOverride>
    <w:lvlOverride w:ilvl="1">
      <w:lvl w:ilvl="1">
        <w:start w:val="1"/>
        <w:numFmt w:val="decimal"/>
        <w:pStyle w:val="Level2"/>
        <w:lvlText w:val="%1.%2"/>
        <w:lvlJc w:val="left"/>
        <w:pPr>
          <w:tabs>
            <w:tab w:val="num" w:pos="1360"/>
          </w:tabs>
          <w:ind w:left="1360" w:hanging="680"/>
        </w:pPr>
        <w:rPr>
          <w:rFonts w:hint="default"/>
          <w:b/>
          <w:i w:val="0"/>
          <w:sz w:val="21"/>
        </w:rPr>
      </w:lvl>
    </w:lvlOverride>
    <w:lvlOverride w:ilvl="2">
      <w:lvl w:ilvl="2">
        <w:start w:val="1"/>
        <w:numFmt w:val="decimal"/>
        <w:pStyle w:val="Level3"/>
        <w:lvlText w:val="%1.%2.%3"/>
        <w:lvlJc w:val="left"/>
        <w:pPr>
          <w:tabs>
            <w:tab w:val="num" w:pos="2041"/>
          </w:tabs>
          <w:ind w:left="2041" w:hanging="681"/>
        </w:pPr>
        <w:rPr>
          <w:rFonts w:hint="default"/>
          <w:b/>
          <w:i w:val="0"/>
          <w:sz w:val="17"/>
        </w:rPr>
      </w:lvl>
    </w:lvlOverride>
    <w:lvlOverride w:ilvl="3">
      <w:lvl w:ilvl="3">
        <w:start w:val="1"/>
        <w:numFmt w:val="lowerRoman"/>
        <w:pStyle w:val="Level4"/>
        <w:lvlText w:val="(%4)"/>
        <w:lvlJc w:val="left"/>
        <w:pPr>
          <w:tabs>
            <w:tab w:val="num" w:pos="2721"/>
          </w:tabs>
          <w:ind w:left="2721" w:hanging="680"/>
        </w:pPr>
        <w:rPr>
          <w:rFonts w:hint="default"/>
          <w:b w:val="0"/>
          <w:bCs w:val="0"/>
          <w:i w:val="0"/>
          <w:iCs w:val="0"/>
          <w:sz w:val="20"/>
        </w:rPr>
      </w:lvl>
    </w:lvlOverride>
    <w:lvlOverride w:ilvl="4">
      <w:lvl w:ilvl="4">
        <w:start w:val="1"/>
        <w:numFmt w:val="lowerLetter"/>
        <w:pStyle w:val="Level5"/>
        <w:lvlText w:val="(%5)"/>
        <w:lvlJc w:val="left"/>
        <w:pPr>
          <w:tabs>
            <w:tab w:val="num" w:pos="3402"/>
          </w:tabs>
          <w:ind w:left="3402" w:hanging="681"/>
        </w:pPr>
        <w:rPr>
          <w:rFonts w:hint="default"/>
          <w:b w:val="0"/>
          <w:bCs w:val="0"/>
          <w:i w:val="0"/>
          <w:iCs w:val="0"/>
          <w:sz w:val="20"/>
        </w:rPr>
      </w:lvl>
    </w:lvlOverride>
    <w:lvlOverride w:ilvl="5">
      <w:lvl w:ilvl="5">
        <w:start w:val="1"/>
        <w:numFmt w:val="upperRoman"/>
        <w:pStyle w:val="Level6"/>
        <w:lvlText w:val="(%6)"/>
        <w:lvlJc w:val="left"/>
        <w:pPr>
          <w:tabs>
            <w:tab w:val="num" w:pos="4082"/>
          </w:tabs>
          <w:ind w:left="4082" w:hanging="680"/>
        </w:pPr>
        <w:rPr>
          <w:rFonts w:hint="default"/>
          <w:sz w:val="20"/>
        </w:rPr>
      </w:lvl>
    </w:lvlOverride>
    <w:lvlOverride w:ilvl="6">
      <w:lvl w:ilvl="6">
        <w:start w:val="1"/>
        <w:numFmt w:val="none"/>
        <w:pStyle w:val="Level7"/>
        <w:lvlText w:val=""/>
        <w:lvlJc w:val="left"/>
        <w:pPr>
          <w:tabs>
            <w:tab w:val="num" w:pos="4082"/>
          </w:tabs>
          <w:ind w:left="4082" w:hanging="680"/>
        </w:pPr>
        <w:rPr>
          <w:rFonts w:hint="default"/>
        </w:rPr>
      </w:lvl>
    </w:lvlOverride>
    <w:lvlOverride w:ilvl="7">
      <w:lvl w:ilvl="7">
        <w:start w:val="1"/>
        <w:numFmt w:val="none"/>
        <w:pStyle w:val="Level8"/>
        <w:lvlText w:val=""/>
        <w:lvlJc w:val="left"/>
        <w:pPr>
          <w:tabs>
            <w:tab w:val="num" w:pos="4082"/>
          </w:tabs>
          <w:ind w:left="4082" w:hanging="680"/>
        </w:pPr>
        <w:rPr>
          <w:rFonts w:hint="default"/>
        </w:rPr>
      </w:lvl>
    </w:lvlOverride>
    <w:lvlOverride w:ilvl="8">
      <w:lvl w:ilvl="8">
        <w:start w:val="1"/>
        <w:numFmt w:val="none"/>
        <w:pStyle w:val="Level9"/>
        <w:lvlText w:val=""/>
        <w:lvlJc w:val="left"/>
        <w:pPr>
          <w:tabs>
            <w:tab w:val="num" w:pos="4082"/>
          </w:tabs>
          <w:ind w:left="4082" w:hanging="680"/>
        </w:pPr>
        <w:rPr>
          <w:rFonts w:hint="default"/>
        </w:rPr>
      </w:lvl>
    </w:lvlOverride>
  </w:num>
  <w:num w:numId="129" w16cid:durableId="838733618">
    <w:abstractNumId w:val="15"/>
    <w:lvlOverride w:ilvl="0">
      <w:lvl w:ilvl="0">
        <w:start w:val="1"/>
        <w:numFmt w:val="decimal"/>
        <w:pStyle w:val="Level1"/>
        <w:lvlText w:val="%1"/>
        <w:lvlJc w:val="left"/>
        <w:pPr>
          <w:tabs>
            <w:tab w:val="num" w:pos="1360"/>
          </w:tabs>
          <w:ind w:left="1360" w:hanging="680"/>
        </w:pPr>
        <w:rPr>
          <w:rFonts w:hAnsi="Arial" w:cs="Times New Roman" w:hint="default"/>
          <w:b/>
          <w:i w:val="0"/>
          <w:sz w:val="22"/>
        </w:rPr>
      </w:lvl>
    </w:lvlOverride>
    <w:lvlOverride w:ilvl="1">
      <w:lvl w:ilvl="1">
        <w:start w:val="1"/>
        <w:numFmt w:val="decimal"/>
        <w:pStyle w:val="Level2"/>
        <w:lvlText w:val="%1.%2"/>
        <w:lvlJc w:val="left"/>
        <w:pPr>
          <w:tabs>
            <w:tab w:val="num" w:pos="1360"/>
          </w:tabs>
          <w:ind w:left="1360" w:hanging="680"/>
        </w:pPr>
        <w:rPr>
          <w:rFonts w:hint="default"/>
          <w:b/>
          <w:i w:val="0"/>
          <w:sz w:val="21"/>
        </w:rPr>
      </w:lvl>
    </w:lvlOverride>
    <w:lvlOverride w:ilvl="2">
      <w:lvl w:ilvl="2">
        <w:start w:val="1"/>
        <w:numFmt w:val="decimal"/>
        <w:pStyle w:val="Level3"/>
        <w:lvlText w:val="%1.%2.%3"/>
        <w:lvlJc w:val="left"/>
        <w:pPr>
          <w:tabs>
            <w:tab w:val="num" w:pos="2041"/>
          </w:tabs>
          <w:ind w:left="2041" w:hanging="681"/>
        </w:pPr>
        <w:rPr>
          <w:rFonts w:hint="default"/>
          <w:b/>
          <w:i w:val="0"/>
          <w:sz w:val="17"/>
        </w:rPr>
      </w:lvl>
    </w:lvlOverride>
    <w:lvlOverride w:ilvl="3">
      <w:lvl w:ilvl="3">
        <w:start w:val="1"/>
        <w:numFmt w:val="lowerRoman"/>
        <w:pStyle w:val="Level4"/>
        <w:lvlText w:val="(%4)"/>
        <w:lvlJc w:val="left"/>
        <w:pPr>
          <w:tabs>
            <w:tab w:val="num" w:pos="2721"/>
          </w:tabs>
          <w:ind w:left="2721" w:hanging="680"/>
        </w:pPr>
        <w:rPr>
          <w:rFonts w:hint="default"/>
          <w:b w:val="0"/>
          <w:bCs w:val="0"/>
          <w:i w:val="0"/>
          <w:iCs w:val="0"/>
          <w:sz w:val="20"/>
        </w:rPr>
      </w:lvl>
    </w:lvlOverride>
    <w:lvlOverride w:ilvl="4">
      <w:lvl w:ilvl="4">
        <w:start w:val="1"/>
        <w:numFmt w:val="lowerLetter"/>
        <w:pStyle w:val="Level5"/>
        <w:lvlText w:val="(%5)"/>
        <w:lvlJc w:val="left"/>
        <w:pPr>
          <w:tabs>
            <w:tab w:val="num" w:pos="3402"/>
          </w:tabs>
          <w:ind w:left="3402" w:hanging="681"/>
        </w:pPr>
        <w:rPr>
          <w:rFonts w:hint="default"/>
          <w:b w:val="0"/>
          <w:bCs w:val="0"/>
          <w:i w:val="0"/>
          <w:iCs w:val="0"/>
          <w:sz w:val="20"/>
        </w:rPr>
      </w:lvl>
    </w:lvlOverride>
    <w:lvlOverride w:ilvl="5">
      <w:lvl w:ilvl="5">
        <w:start w:val="1"/>
        <w:numFmt w:val="upperRoman"/>
        <w:pStyle w:val="Level6"/>
        <w:lvlText w:val="(%6)"/>
        <w:lvlJc w:val="left"/>
        <w:pPr>
          <w:tabs>
            <w:tab w:val="num" w:pos="4082"/>
          </w:tabs>
          <w:ind w:left="4082" w:hanging="680"/>
        </w:pPr>
        <w:rPr>
          <w:rFonts w:hint="default"/>
          <w:sz w:val="20"/>
        </w:rPr>
      </w:lvl>
    </w:lvlOverride>
    <w:lvlOverride w:ilvl="6">
      <w:lvl w:ilvl="6">
        <w:start w:val="1"/>
        <w:numFmt w:val="none"/>
        <w:pStyle w:val="Level7"/>
        <w:lvlText w:val=""/>
        <w:lvlJc w:val="left"/>
        <w:pPr>
          <w:tabs>
            <w:tab w:val="num" w:pos="4082"/>
          </w:tabs>
          <w:ind w:left="4082" w:hanging="680"/>
        </w:pPr>
        <w:rPr>
          <w:rFonts w:hint="default"/>
        </w:rPr>
      </w:lvl>
    </w:lvlOverride>
    <w:lvlOverride w:ilvl="7">
      <w:lvl w:ilvl="7">
        <w:start w:val="1"/>
        <w:numFmt w:val="none"/>
        <w:pStyle w:val="Level8"/>
        <w:lvlText w:val=""/>
        <w:lvlJc w:val="left"/>
        <w:pPr>
          <w:tabs>
            <w:tab w:val="num" w:pos="4082"/>
          </w:tabs>
          <w:ind w:left="4082" w:hanging="680"/>
        </w:pPr>
        <w:rPr>
          <w:rFonts w:hint="default"/>
        </w:rPr>
      </w:lvl>
    </w:lvlOverride>
    <w:lvlOverride w:ilvl="8">
      <w:lvl w:ilvl="8">
        <w:start w:val="1"/>
        <w:numFmt w:val="none"/>
        <w:pStyle w:val="Level9"/>
        <w:lvlText w:val=""/>
        <w:lvlJc w:val="left"/>
        <w:pPr>
          <w:tabs>
            <w:tab w:val="num" w:pos="4082"/>
          </w:tabs>
          <w:ind w:left="4082" w:hanging="680"/>
        </w:pPr>
        <w:rPr>
          <w:rFonts w:hint="default"/>
        </w:rPr>
      </w:lvl>
    </w:lvlOverride>
  </w:num>
  <w:num w:numId="130" w16cid:durableId="1536310342">
    <w:abstractNumId w:val="15"/>
    <w:lvlOverride w:ilvl="0">
      <w:lvl w:ilvl="0">
        <w:start w:val="1"/>
        <w:numFmt w:val="decimal"/>
        <w:pStyle w:val="Level1"/>
        <w:lvlText w:val="%1"/>
        <w:lvlJc w:val="left"/>
        <w:pPr>
          <w:tabs>
            <w:tab w:val="num" w:pos="1360"/>
          </w:tabs>
          <w:ind w:left="1360" w:hanging="680"/>
        </w:pPr>
        <w:rPr>
          <w:rFonts w:hAnsi="Arial" w:cs="Times New Roman" w:hint="default"/>
          <w:b/>
          <w:i w:val="0"/>
          <w:sz w:val="22"/>
        </w:rPr>
      </w:lvl>
    </w:lvlOverride>
    <w:lvlOverride w:ilvl="1">
      <w:lvl w:ilvl="1">
        <w:start w:val="1"/>
        <w:numFmt w:val="decimal"/>
        <w:pStyle w:val="Level2"/>
        <w:lvlText w:val="%1.%2"/>
        <w:lvlJc w:val="left"/>
        <w:pPr>
          <w:tabs>
            <w:tab w:val="num" w:pos="1360"/>
          </w:tabs>
          <w:ind w:left="1360" w:hanging="680"/>
        </w:pPr>
        <w:rPr>
          <w:rFonts w:hint="default"/>
          <w:b/>
          <w:i w:val="0"/>
          <w:sz w:val="21"/>
        </w:rPr>
      </w:lvl>
    </w:lvlOverride>
    <w:lvlOverride w:ilvl="2">
      <w:lvl w:ilvl="2">
        <w:start w:val="1"/>
        <w:numFmt w:val="decimal"/>
        <w:pStyle w:val="Level3"/>
        <w:lvlText w:val="%1.%2.%3"/>
        <w:lvlJc w:val="left"/>
        <w:pPr>
          <w:tabs>
            <w:tab w:val="num" w:pos="2041"/>
          </w:tabs>
          <w:ind w:left="2041" w:hanging="681"/>
        </w:pPr>
        <w:rPr>
          <w:rFonts w:hint="default"/>
          <w:b/>
          <w:i w:val="0"/>
          <w:sz w:val="17"/>
        </w:rPr>
      </w:lvl>
    </w:lvlOverride>
    <w:lvlOverride w:ilvl="3">
      <w:lvl w:ilvl="3">
        <w:start w:val="1"/>
        <w:numFmt w:val="lowerRoman"/>
        <w:pStyle w:val="Level4"/>
        <w:lvlText w:val="(%4)"/>
        <w:lvlJc w:val="left"/>
        <w:pPr>
          <w:tabs>
            <w:tab w:val="num" w:pos="2721"/>
          </w:tabs>
          <w:ind w:left="2721" w:hanging="680"/>
        </w:pPr>
        <w:rPr>
          <w:rFonts w:hint="default"/>
          <w:b w:val="0"/>
          <w:bCs w:val="0"/>
          <w:i w:val="0"/>
          <w:iCs w:val="0"/>
          <w:sz w:val="20"/>
        </w:rPr>
      </w:lvl>
    </w:lvlOverride>
    <w:lvlOverride w:ilvl="4">
      <w:lvl w:ilvl="4">
        <w:start w:val="1"/>
        <w:numFmt w:val="lowerLetter"/>
        <w:pStyle w:val="Level5"/>
        <w:lvlText w:val="(%5)"/>
        <w:lvlJc w:val="left"/>
        <w:pPr>
          <w:tabs>
            <w:tab w:val="num" w:pos="3402"/>
          </w:tabs>
          <w:ind w:left="3402" w:hanging="681"/>
        </w:pPr>
        <w:rPr>
          <w:rFonts w:hint="default"/>
          <w:b w:val="0"/>
          <w:bCs w:val="0"/>
          <w:i w:val="0"/>
          <w:iCs w:val="0"/>
          <w:sz w:val="20"/>
        </w:rPr>
      </w:lvl>
    </w:lvlOverride>
    <w:lvlOverride w:ilvl="5">
      <w:lvl w:ilvl="5">
        <w:start w:val="1"/>
        <w:numFmt w:val="upperRoman"/>
        <w:pStyle w:val="Level6"/>
        <w:lvlText w:val="(%6)"/>
        <w:lvlJc w:val="left"/>
        <w:pPr>
          <w:tabs>
            <w:tab w:val="num" w:pos="4082"/>
          </w:tabs>
          <w:ind w:left="4082" w:hanging="680"/>
        </w:pPr>
        <w:rPr>
          <w:rFonts w:hint="default"/>
          <w:sz w:val="20"/>
        </w:rPr>
      </w:lvl>
    </w:lvlOverride>
    <w:lvlOverride w:ilvl="6">
      <w:lvl w:ilvl="6">
        <w:start w:val="1"/>
        <w:numFmt w:val="none"/>
        <w:pStyle w:val="Level7"/>
        <w:lvlText w:val=""/>
        <w:lvlJc w:val="left"/>
        <w:pPr>
          <w:tabs>
            <w:tab w:val="num" w:pos="4082"/>
          </w:tabs>
          <w:ind w:left="4082" w:hanging="680"/>
        </w:pPr>
        <w:rPr>
          <w:rFonts w:hint="default"/>
        </w:rPr>
      </w:lvl>
    </w:lvlOverride>
    <w:lvlOverride w:ilvl="7">
      <w:lvl w:ilvl="7">
        <w:start w:val="1"/>
        <w:numFmt w:val="none"/>
        <w:pStyle w:val="Level8"/>
        <w:lvlText w:val=""/>
        <w:lvlJc w:val="left"/>
        <w:pPr>
          <w:tabs>
            <w:tab w:val="num" w:pos="4082"/>
          </w:tabs>
          <w:ind w:left="4082" w:hanging="680"/>
        </w:pPr>
        <w:rPr>
          <w:rFonts w:hint="default"/>
        </w:rPr>
      </w:lvl>
    </w:lvlOverride>
    <w:lvlOverride w:ilvl="8">
      <w:lvl w:ilvl="8">
        <w:start w:val="1"/>
        <w:numFmt w:val="none"/>
        <w:pStyle w:val="Level9"/>
        <w:lvlText w:val=""/>
        <w:lvlJc w:val="left"/>
        <w:pPr>
          <w:tabs>
            <w:tab w:val="num" w:pos="4082"/>
          </w:tabs>
          <w:ind w:left="4082" w:hanging="680"/>
        </w:pPr>
        <w:rPr>
          <w:rFonts w:hint="default"/>
        </w:rPr>
      </w:lvl>
    </w:lvlOverride>
  </w:num>
  <w:num w:numId="131" w16cid:durableId="677193579">
    <w:abstractNumId w:val="15"/>
    <w:lvlOverride w:ilvl="0">
      <w:lvl w:ilvl="0">
        <w:start w:val="1"/>
        <w:numFmt w:val="decimal"/>
        <w:pStyle w:val="Level1"/>
        <w:lvlText w:val="%1"/>
        <w:lvlJc w:val="left"/>
        <w:pPr>
          <w:tabs>
            <w:tab w:val="num" w:pos="1360"/>
          </w:tabs>
          <w:ind w:left="1360" w:hanging="680"/>
        </w:pPr>
        <w:rPr>
          <w:rFonts w:hAnsi="Arial" w:cs="Times New Roman" w:hint="default"/>
          <w:b/>
          <w:i w:val="0"/>
          <w:sz w:val="22"/>
        </w:rPr>
      </w:lvl>
    </w:lvlOverride>
    <w:lvlOverride w:ilvl="1">
      <w:lvl w:ilvl="1">
        <w:start w:val="1"/>
        <w:numFmt w:val="decimal"/>
        <w:pStyle w:val="Level2"/>
        <w:lvlText w:val="%1.%2"/>
        <w:lvlJc w:val="left"/>
        <w:pPr>
          <w:tabs>
            <w:tab w:val="num" w:pos="1360"/>
          </w:tabs>
          <w:ind w:left="1360" w:hanging="680"/>
        </w:pPr>
        <w:rPr>
          <w:rFonts w:hint="default"/>
          <w:b/>
          <w:i w:val="0"/>
          <w:sz w:val="21"/>
        </w:rPr>
      </w:lvl>
    </w:lvlOverride>
    <w:lvlOverride w:ilvl="2">
      <w:lvl w:ilvl="2">
        <w:start w:val="1"/>
        <w:numFmt w:val="decimal"/>
        <w:pStyle w:val="Level3"/>
        <w:lvlText w:val="%1.%2.%3"/>
        <w:lvlJc w:val="left"/>
        <w:pPr>
          <w:tabs>
            <w:tab w:val="num" w:pos="2041"/>
          </w:tabs>
          <w:ind w:left="2041" w:hanging="681"/>
        </w:pPr>
        <w:rPr>
          <w:rFonts w:hint="default"/>
          <w:b/>
          <w:i w:val="0"/>
          <w:sz w:val="17"/>
        </w:rPr>
      </w:lvl>
    </w:lvlOverride>
    <w:lvlOverride w:ilvl="3">
      <w:lvl w:ilvl="3">
        <w:start w:val="1"/>
        <w:numFmt w:val="lowerRoman"/>
        <w:pStyle w:val="Level4"/>
        <w:lvlText w:val="(%4)"/>
        <w:lvlJc w:val="left"/>
        <w:pPr>
          <w:tabs>
            <w:tab w:val="num" w:pos="2721"/>
          </w:tabs>
          <w:ind w:left="2721" w:hanging="680"/>
        </w:pPr>
        <w:rPr>
          <w:rFonts w:hint="default"/>
          <w:b w:val="0"/>
          <w:bCs w:val="0"/>
          <w:i w:val="0"/>
          <w:iCs w:val="0"/>
          <w:sz w:val="20"/>
        </w:rPr>
      </w:lvl>
    </w:lvlOverride>
    <w:lvlOverride w:ilvl="4">
      <w:lvl w:ilvl="4">
        <w:start w:val="1"/>
        <w:numFmt w:val="lowerLetter"/>
        <w:pStyle w:val="Level5"/>
        <w:lvlText w:val="(%5)"/>
        <w:lvlJc w:val="left"/>
        <w:pPr>
          <w:tabs>
            <w:tab w:val="num" w:pos="3402"/>
          </w:tabs>
          <w:ind w:left="3402" w:hanging="681"/>
        </w:pPr>
        <w:rPr>
          <w:rFonts w:hint="default"/>
          <w:b w:val="0"/>
          <w:bCs w:val="0"/>
          <w:i w:val="0"/>
          <w:iCs w:val="0"/>
          <w:sz w:val="20"/>
        </w:rPr>
      </w:lvl>
    </w:lvlOverride>
    <w:lvlOverride w:ilvl="5">
      <w:lvl w:ilvl="5">
        <w:start w:val="1"/>
        <w:numFmt w:val="upperRoman"/>
        <w:pStyle w:val="Level6"/>
        <w:lvlText w:val="(%6)"/>
        <w:lvlJc w:val="left"/>
        <w:pPr>
          <w:tabs>
            <w:tab w:val="num" w:pos="4082"/>
          </w:tabs>
          <w:ind w:left="4082" w:hanging="680"/>
        </w:pPr>
        <w:rPr>
          <w:rFonts w:hint="default"/>
          <w:sz w:val="20"/>
        </w:rPr>
      </w:lvl>
    </w:lvlOverride>
    <w:lvlOverride w:ilvl="6">
      <w:lvl w:ilvl="6">
        <w:start w:val="1"/>
        <w:numFmt w:val="none"/>
        <w:pStyle w:val="Level7"/>
        <w:lvlText w:val=""/>
        <w:lvlJc w:val="left"/>
        <w:pPr>
          <w:tabs>
            <w:tab w:val="num" w:pos="4082"/>
          </w:tabs>
          <w:ind w:left="4082" w:hanging="680"/>
        </w:pPr>
        <w:rPr>
          <w:rFonts w:hint="default"/>
        </w:rPr>
      </w:lvl>
    </w:lvlOverride>
    <w:lvlOverride w:ilvl="7">
      <w:lvl w:ilvl="7">
        <w:start w:val="1"/>
        <w:numFmt w:val="none"/>
        <w:pStyle w:val="Level8"/>
        <w:lvlText w:val=""/>
        <w:lvlJc w:val="left"/>
        <w:pPr>
          <w:tabs>
            <w:tab w:val="num" w:pos="4082"/>
          </w:tabs>
          <w:ind w:left="4082" w:hanging="680"/>
        </w:pPr>
        <w:rPr>
          <w:rFonts w:hint="default"/>
        </w:rPr>
      </w:lvl>
    </w:lvlOverride>
    <w:lvlOverride w:ilvl="8">
      <w:lvl w:ilvl="8">
        <w:start w:val="1"/>
        <w:numFmt w:val="none"/>
        <w:pStyle w:val="Level9"/>
        <w:lvlText w:val=""/>
        <w:lvlJc w:val="left"/>
        <w:pPr>
          <w:tabs>
            <w:tab w:val="num" w:pos="4082"/>
          </w:tabs>
          <w:ind w:left="4082" w:hanging="680"/>
        </w:pPr>
        <w:rPr>
          <w:rFonts w:hint="default"/>
        </w:rPr>
      </w:lvl>
    </w:lvlOverride>
  </w:num>
  <w:num w:numId="132" w16cid:durableId="125853786">
    <w:abstractNumId w:val="15"/>
    <w:lvlOverride w:ilvl="0">
      <w:lvl w:ilvl="0">
        <w:start w:val="1"/>
        <w:numFmt w:val="decimal"/>
        <w:pStyle w:val="Level1"/>
        <w:lvlText w:val="%1"/>
        <w:lvlJc w:val="left"/>
        <w:pPr>
          <w:tabs>
            <w:tab w:val="num" w:pos="1360"/>
          </w:tabs>
          <w:ind w:left="1360" w:hanging="680"/>
        </w:pPr>
        <w:rPr>
          <w:rFonts w:hAnsi="Arial" w:cs="Times New Roman" w:hint="default"/>
          <w:b/>
          <w:i w:val="0"/>
          <w:sz w:val="22"/>
        </w:rPr>
      </w:lvl>
    </w:lvlOverride>
    <w:lvlOverride w:ilvl="1">
      <w:lvl w:ilvl="1">
        <w:start w:val="1"/>
        <w:numFmt w:val="decimal"/>
        <w:pStyle w:val="Level2"/>
        <w:lvlText w:val="%1.%2"/>
        <w:lvlJc w:val="left"/>
        <w:pPr>
          <w:tabs>
            <w:tab w:val="num" w:pos="1360"/>
          </w:tabs>
          <w:ind w:left="1360" w:hanging="680"/>
        </w:pPr>
        <w:rPr>
          <w:rFonts w:hint="default"/>
          <w:b/>
          <w:i w:val="0"/>
          <w:sz w:val="21"/>
        </w:rPr>
      </w:lvl>
    </w:lvlOverride>
    <w:lvlOverride w:ilvl="2">
      <w:lvl w:ilvl="2">
        <w:start w:val="1"/>
        <w:numFmt w:val="decimal"/>
        <w:pStyle w:val="Level3"/>
        <w:lvlText w:val="%1.%2.%3"/>
        <w:lvlJc w:val="left"/>
        <w:pPr>
          <w:tabs>
            <w:tab w:val="num" w:pos="2041"/>
          </w:tabs>
          <w:ind w:left="2041" w:hanging="681"/>
        </w:pPr>
        <w:rPr>
          <w:rFonts w:hint="default"/>
          <w:b/>
          <w:i w:val="0"/>
          <w:sz w:val="17"/>
        </w:rPr>
      </w:lvl>
    </w:lvlOverride>
    <w:lvlOverride w:ilvl="3">
      <w:lvl w:ilvl="3">
        <w:start w:val="1"/>
        <w:numFmt w:val="lowerRoman"/>
        <w:pStyle w:val="Level4"/>
        <w:lvlText w:val="(%4)"/>
        <w:lvlJc w:val="left"/>
        <w:pPr>
          <w:tabs>
            <w:tab w:val="num" w:pos="2721"/>
          </w:tabs>
          <w:ind w:left="2721" w:hanging="680"/>
        </w:pPr>
        <w:rPr>
          <w:rFonts w:hint="default"/>
          <w:b w:val="0"/>
          <w:bCs w:val="0"/>
          <w:i w:val="0"/>
          <w:iCs w:val="0"/>
          <w:sz w:val="20"/>
        </w:rPr>
      </w:lvl>
    </w:lvlOverride>
    <w:lvlOverride w:ilvl="4">
      <w:lvl w:ilvl="4">
        <w:start w:val="1"/>
        <w:numFmt w:val="lowerLetter"/>
        <w:pStyle w:val="Level5"/>
        <w:lvlText w:val="(%5)"/>
        <w:lvlJc w:val="left"/>
        <w:pPr>
          <w:tabs>
            <w:tab w:val="num" w:pos="3402"/>
          </w:tabs>
          <w:ind w:left="3402" w:hanging="681"/>
        </w:pPr>
        <w:rPr>
          <w:rFonts w:hint="default"/>
          <w:b w:val="0"/>
          <w:bCs w:val="0"/>
          <w:i w:val="0"/>
          <w:iCs w:val="0"/>
          <w:sz w:val="20"/>
        </w:rPr>
      </w:lvl>
    </w:lvlOverride>
    <w:lvlOverride w:ilvl="5">
      <w:lvl w:ilvl="5">
        <w:start w:val="1"/>
        <w:numFmt w:val="upperRoman"/>
        <w:pStyle w:val="Level6"/>
        <w:lvlText w:val="(%6)"/>
        <w:lvlJc w:val="left"/>
        <w:pPr>
          <w:tabs>
            <w:tab w:val="num" w:pos="4082"/>
          </w:tabs>
          <w:ind w:left="4082" w:hanging="680"/>
        </w:pPr>
        <w:rPr>
          <w:rFonts w:hint="default"/>
          <w:sz w:val="20"/>
        </w:rPr>
      </w:lvl>
    </w:lvlOverride>
    <w:lvlOverride w:ilvl="6">
      <w:lvl w:ilvl="6">
        <w:start w:val="1"/>
        <w:numFmt w:val="none"/>
        <w:pStyle w:val="Level7"/>
        <w:lvlText w:val=""/>
        <w:lvlJc w:val="left"/>
        <w:pPr>
          <w:tabs>
            <w:tab w:val="num" w:pos="4082"/>
          </w:tabs>
          <w:ind w:left="4082" w:hanging="680"/>
        </w:pPr>
        <w:rPr>
          <w:rFonts w:hint="default"/>
        </w:rPr>
      </w:lvl>
    </w:lvlOverride>
    <w:lvlOverride w:ilvl="7">
      <w:lvl w:ilvl="7">
        <w:start w:val="1"/>
        <w:numFmt w:val="none"/>
        <w:pStyle w:val="Level8"/>
        <w:lvlText w:val=""/>
        <w:lvlJc w:val="left"/>
        <w:pPr>
          <w:tabs>
            <w:tab w:val="num" w:pos="4082"/>
          </w:tabs>
          <w:ind w:left="4082" w:hanging="680"/>
        </w:pPr>
        <w:rPr>
          <w:rFonts w:hint="default"/>
        </w:rPr>
      </w:lvl>
    </w:lvlOverride>
    <w:lvlOverride w:ilvl="8">
      <w:lvl w:ilvl="8">
        <w:start w:val="1"/>
        <w:numFmt w:val="none"/>
        <w:pStyle w:val="Level9"/>
        <w:lvlText w:val=""/>
        <w:lvlJc w:val="left"/>
        <w:pPr>
          <w:tabs>
            <w:tab w:val="num" w:pos="4082"/>
          </w:tabs>
          <w:ind w:left="4082" w:hanging="680"/>
        </w:pPr>
        <w:rPr>
          <w:rFonts w:hint="default"/>
        </w:rPr>
      </w:lvl>
    </w:lvlOverride>
  </w:num>
  <w:num w:numId="133" w16cid:durableId="333994436">
    <w:abstractNumId w:val="15"/>
    <w:lvlOverride w:ilvl="0">
      <w:lvl w:ilvl="0">
        <w:start w:val="1"/>
        <w:numFmt w:val="decimal"/>
        <w:pStyle w:val="Level1"/>
        <w:lvlText w:val="%1"/>
        <w:lvlJc w:val="left"/>
        <w:pPr>
          <w:tabs>
            <w:tab w:val="num" w:pos="1360"/>
          </w:tabs>
          <w:ind w:left="1360" w:hanging="680"/>
        </w:pPr>
        <w:rPr>
          <w:rFonts w:hAnsi="Arial" w:cs="Times New Roman" w:hint="default"/>
          <w:b/>
          <w:i w:val="0"/>
          <w:sz w:val="22"/>
        </w:rPr>
      </w:lvl>
    </w:lvlOverride>
    <w:lvlOverride w:ilvl="1">
      <w:lvl w:ilvl="1">
        <w:start w:val="1"/>
        <w:numFmt w:val="decimal"/>
        <w:pStyle w:val="Level2"/>
        <w:lvlText w:val="%1.%2"/>
        <w:lvlJc w:val="left"/>
        <w:pPr>
          <w:tabs>
            <w:tab w:val="num" w:pos="1360"/>
          </w:tabs>
          <w:ind w:left="1360" w:hanging="680"/>
        </w:pPr>
        <w:rPr>
          <w:rFonts w:hint="default"/>
          <w:b/>
          <w:i w:val="0"/>
          <w:sz w:val="21"/>
        </w:rPr>
      </w:lvl>
    </w:lvlOverride>
    <w:lvlOverride w:ilvl="2">
      <w:lvl w:ilvl="2">
        <w:start w:val="1"/>
        <w:numFmt w:val="decimal"/>
        <w:pStyle w:val="Level3"/>
        <w:lvlText w:val="%1.%2.%3"/>
        <w:lvlJc w:val="left"/>
        <w:pPr>
          <w:tabs>
            <w:tab w:val="num" w:pos="2041"/>
          </w:tabs>
          <w:ind w:left="2041" w:hanging="681"/>
        </w:pPr>
        <w:rPr>
          <w:rFonts w:hint="default"/>
          <w:b/>
          <w:i w:val="0"/>
          <w:sz w:val="17"/>
        </w:rPr>
      </w:lvl>
    </w:lvlOverride>
    <w:lvlOverride w:ilvl="3">
      <w:lvl w:ilvl="3">
        <w:start w:val="1"/>
        <w:numFmt w:val="lowerRoman"/>
        <w:pStyle w:val="Level4"/>
        <w:lvlText w:val="(%4)"/>
        <w:lvlJc w:val="left"/>
        <w:pPr>
          <w:tabs>
            <w:tab w:val="num" w:pos="2721"/>
          </w:tabs>
          <w:ind w:left="2721" w:hanging="680"/>
        </w:pPr>
        <w:rPr>
          <w:rFonts w:hint="default"/>
          <w:b w:val="0"/>
          <w:bCs w:val="0"/>
          <w:i w:val="0"/>
          <w:iCs w:val="0"/>
          <w:sz w:val="20"/>
        </w:rPr>
      </w:lvl>
    </w:lvlOverride>
    <w:lvlOverride w:ilvl="4">
      <w:lvl w:ilvl="4">
        <w:start w:val="1"/>
        <w:numFmt w:val="lowerLetter"/>
        <w:pStyle w:val="Level5"/>
        <w:lvlText w:val="(%5)"/>
        <w:lvlJc w:val="left"/>
        <w:pPr>
          <w:tabs>
            <w:tab w:val="num" w:pos="3402"/>
          </w:tabs>
          <w:ind w:left="3402" w:hanging="681"/>
        </w:pPr>
        <w:rPr>
          <w:rFonts w:hint="default"/>
          <w:b w:val="0"/>
          <w:bCs w:val="0"/>
          <w:i w:val="0"/>
          <w:iCs w:val="0"/>
          <w:sz w:val="20"/>
        </w:rPr>
      </w:lvl>
    </w:lvlOverride>
    <w:lvlOverride w:ilvl="5">
      <w:lvl w:ilvl="5">
        <w:start w:val="1"/>
        <w:numFmt w:val="upperRoman"/>
        <w:pStyle w:val="Level6"/>
        <w:lvlText w:val="(%6)"/>
        <w:lvlJc w:val="left"/>
        <w:pPr>
          <w:tabs>
            <w:tab w:val="num" w:pos="4082"/>
          </w:tabs>
          <w:ind w:left="4082" w:hanging="680"/>
        </w:pPr>
        <w:rPr>
          <w:rFonts w:hint="default"/>
          <w:sz w:val="20"/>
        </w:rPr>
      </w:lvl>
    </w:lvlOverride>
    <w:lvlOverride w:ilvl="6">
      <w:lvl w:ilvl="6">
        <w:start w:val="1"/>
        <w:numFmt w:val="none"/>
        <w:pStyle w:val="Level7"/>
        <w:lvlText w:val=""/>
        <w:lvlJc w:val="left"/>
        <w:pPr>
          <w:tabs>
            <w:tab w:val="num" w:pos="4082"/>
          </w:tabs>
          <w:ind w:left="4082" w:hanging="680"/>
        </w:pPr>
        <w:rPr>
          <w:rFonts w:hint="default"/>
        </w:rPr>
      </w:lvl>
    </w:lvlOverride>
    <w:lvlOverride w:ilvl="7">
      <w:lvl w:ilvl="7">
        <w:start w:val="1"/>
        <w:numFmt w:val="none"/>
        <w:pStyle w:val="Level8"/>
        <w:lvlText w:val=""/>
        <w:lvlJc w:val="left"/>
        <w:pPr>
          <w:tabs>
            <w:tab w:val="num" w:pos="4082"/>
          </w:tabs>
          <w:ind w:left="4082" w:hanging="680"/>
        </w:pPr>
        <w:rPr>
          <w:rFonts w:hint="default"/>
        </w:rPr>
      </w:lvl>
    </w:lvlOverride>
    <w:lvlOverride w:ilvl="8">
      <w:lvl w:ilvl="8">
        <w:start w:val="1"/>
        <w:numFmt w:val="none"/>
        <w:pStyle w:val="Level9"/>
        <w:lvlText w:val=""/>
        <w:lvlJc w:val="left"/>
        <w:pPr>
          <w:tabs>
            <w:tab w:val="num" w:pos="4082"/>
          </w:tabs>
          <w:ind w:left="4082" w:hanging="680"/>
        </w:pPr>
        <w:rPr>
          <w:rFonts w:hint="default"/>
        </w:rPr>
      </w:lvl>
    </w:lvlOverride>
  </w:num>
  <w:num w:numId="134" w16cid:durableId="672683080">
    <w:abstractNumId w:val="15"/>
    <w:lvlOverride w:ilvl="0">
      <w:lvl w:ilvl="0">
        <w:start w:val="1"/>
        <w:numFmt w:val="decimal"/>
        <w:pStyle w:val="Level1"/>
        <w:lvlText w:val="%1"/>
        <w:lvlJc w:val="left"/>
        <w:pPr>
          <w:tabs>
            <w:tab w:val="num" w:pos="1360"/>
          </w:tabs>
          <w:ind w:left="1360" w:hanging="680"/>
        </w:pPr>
        <w:rPr>
          <w:rFonts w:hAnsi="Arial" w:cs="Times New Roman" w:hint="default"/>
          <w:b/>
          <w:i w:val="0"/>
          <w:sz w:val="22"/>
        </w:rPr>
      </w:lvl>
    </w:lvlOverride>
    <w:lvlOverride w:ilvl="1">
      <w:lvl w:ilvl="1">
        <w:start w:val="1"/>
        <w:numFmt w:val="decimal"/>
        <w:pStyle w:val="Level2"/>
        <w:lvlText w:val="%1.%2"/>
        <w:lvlJc w:val="left"/>
        <w:pPr>
          <w:tabs>
            <w:tab w:val="num" w:pos="1360"/>
          </w:tabs>
          <w:ind w:left="1360" w:hanging="680"/>
        </w:pPr>
        <w:rPr>
          <w:rFonts w:hint="default"/>
          <w:b/>
          <w:i w:val="0"/>
          <w:sz w:val="21"/>
        </w:rPr>
      </w:lvl>
    </w:lvlOverride>
    <w:lvlOverride w:ilvl="2">
      <w:lvl w:ilvl="2">
        <w:start w:val="1"/>
        <w:numFmt w:val="decimal"/>
        <w:pStyle w:val="Level3"/>
        <w:lvlText w:val="%1.%2.%3"/>
        <w:lvlJc w:val="left"/>
        <w:pPr>
          <w:tabs>
            <w:tab w:val="num" w:pos="2041"/>
          </w:tabs>
          <w:ind w:left="2041" w:hanging="681"/>
        </w:pPr>
        <w:rPr>
          <w:rFonts w:hint="default"/>
          <w:b/>
          <w:i w:val="0"/>
          <w:sz w:val="17"/>
        </w:rPr>
      </w:lvl>
    </w:lvlOverride>
    <w:lvlOverride w:ilvl="3">
      <w:lvl w:ilvl="3">
        <w:start w:val="1"/>
        <w:numFmt w:val="lowerRoman"/>
        <w:pStyle w:val="Level4"/>
        <w:lvlText w:val="(%4)"/>
        <w:lvlJc w:val="left"/>
        <w:pPr>
          <w:tabs>
            <w:tab w:val="num" w:pos="2721"/>
          </w:tabs>
          <w:ind w:left="2721" w:hanging="680"/>
        </w:pPr>
        <w:rPr>
          <w:rFonts w:hint="default"/>
          <w:b w:val="0"/>
          <w:bCs w:val="0"/>
          <w:i w:val="0"/>
          <w:iCs w:val="0"/>
          <w:sz w:val="20"/>
        </w:rPr>
      </w:lvl>
    </w:lvlOverride>
    <w:lvlOverride w:ilvl="4">
      <w:lvl w:ilvl="4">
        <w:start w:val="1"/>
        <w:numFmt w:val="lowerLetter"/>
        <w:pStyle w:val="Level5"/>
        <w:lvlText w:val="(%5)"/>
        <w:lvlJc w:val="left"/>
        <w:pPr>
          <w:tabs>
            <w:tab w:val="num" w:pos="3402"/>
          </w:tabs>
          <w:ind w:left="3402" w:hanging="681"/>
        </w:pPr>
        <w:rPr>
          <w:rFonts w:hint="default"/>
          <w:b w:val="0"/>
          <w:bCs w:val="0"/>
          <w:i w:val="0"/>
          <w:iCs w:val="0"/>
          <w:sz w:val="20"/>
        </w:rPr>
      </w:lvl>
    </w:lvlOverride>
    <w:lvlOverride w:ilvl="5">
      <w:lvl w:ilvl="5">
        <w:start w:val="1"/>
        <w:numFmt w:val="upperRoman"/>
        <w:pStyle w:val="Level6"/>
        <w:lvlText w:val="(%6)"/>
        <w:lvlJc w:val="left"/>
        <w:pPr>
          <w:tabs>
            <w:tab w:val="num" w:pos="4082"/>
          </w:tabs>
          <w:ind w:left="4082" w:hanging="680"/>
        </w:pPr>
        <w:rPr>
          <w:rFonts w:hint="default"/>
          <w:sz w:val="20"/>
        </w:rPr>
      </w:lvl>
    </w:lvlOverride>
    <w:lvlOverride w:ilvl="6">
      <w:lvl w:ilvl="6">
        <w:start w:val="1"/>
        <w:numFmt w:val="none"/>
        <w:pStyle w:val="Level7"/>
        <w:lvlText w:val=""/>
        <w:lvlJc w:val="left"/>
        <w:pPr>
          <w:tabs>
            <w:tab w:val="num" w:pos="4082"/>
          </w:tabs>
          <w:ind w:left="4082" w:hanging="680"/>
        </w:pPr>
        <w:rPr>
          <w:rFonts w:hint="default"/>
        </w:rPr>
      </w:lvl>
    </w:lvlOverride>
    <w:lvlOverride w:ilvl="7">
      <w:lvl w:ilvl="7">
        <w:start w:val="1"/>
        <w:numFmt w:val="none"/>
        <w:pStyle w:val="Level8"/>
        <w:lvlText w:val=""/>
        <w:lvlJc w:val="left"/>
        <w:pPr>
          <w:tabs>
            <w:tab w:val="num" w:pos="4082"/>
          </w:tabs>
          <w:ind w:left="4082" w:hanging="680"/>
        </w:pPr>
        <w:rPr>
          <w:rFonts w:hint="default"/>
        </w:rPr>
      </w:lvl>
    </w:lvlOverride>
    <w:lvlOverride w:ilvl="8">
      <w:lvl w:ilvl="8">
        <w:start w:val="1"/>
        <w:numFmt w:val="none"/>
        <w:pStyle w:val="Level9"/>
        <w:lvlText w:val=""/>
        <w:lvlJc w:val="left"/>
        <w:pPr>
          <w:tabs>
            <w:tab w:val="num" w:pos="4082"/>
          </w:tabs>
          <w:ind w:left="4082" w:hanging="680"/>
        </w:pPr>
        <w:rPr>
          <w:rFonts w:hint="default"/>
        </w:rPr>
      </w:lvl>
    </w:lvlOverride>
  </w:num>
  <w:num w:numId="135" w16cid:durableId="942110011">
    <w:abstractNumId w:val="15"/>
    <w:lvlOverride w:ilvl="0">
      <w:lvl w:ilvl="0">
        <w:start w:val="1"/>
        <w:numFmt w:val="decimal"/>
        <w:pStyle w:val="Level1"/>
        <w:lvlText w:val="%1"/>
        <w:lvlJc w:val="left"/>
        <w:pPr>
          <w:tabs>
            <w:tab w:val="num" w:pos="1360"/>
          </w:tabs>
          <w:ind w:left="1360" w:hanging="680"/>
        </w:pPr>
        <w:rPr>
          <w:rFonts w:hAnsi="Arial" w:cs="Times New Roman" w:hint="default"/>
          <w:b/>
          <w:i w:val="0"/>
          <w:sz w:val="22"/>
        </w:rPr>
      </w:lvl>
    </w:lvlOverride>
    <w:lvlOverride w:ilvl="1">
      <w:lvl w:ilvl="1">
        <w:start w:val="1"/>
        <w:numFmt w:val="decimal"/>
        <w:pStyle w:val="Level2"/>
        <w:lvlText w:val="%1.%2"/>
        <w:lvlJc w:val="left"/>
        <w:pPr>
          <w:tabs>
            <w:tab w:val="num" w:pos="1360"/>
          </w:tabs>
          <w:ind w:left="1360" w:hanging="680"/>
        </w:pPr>
        <w:rPr>
          <w:rFonts w:hint="default"/>
          <w:b/>
          <w:i w:val="0"/>
          <w:sz w:val="21"/>
        </w:rPr>
      </w:lvl>
    </w:lvlOverride>
    <w:lvlOverride w:ilvl="2">
      <w:lvl w:ilvl="2">
        <w:start w:val="1"/>
        <w:numFmt w:val="decimal"/>
        <w:pStyle w:val="Level3"/>
        <w:lvlText w:val="%1.%2.%3"/>
        <w:lvlJc w:val="left"/>
        <w:pPr>
          <w:tabs>
            <w:tab w:val="num" w:pos="2041"/>
          </w:tabs>
          <w:ind w:left="2041" w:hanging="681"/>
        </w:pPr>
        <w:rPr>
          <w:rFonts w:hint="default"/>
          <w:b/>
          <w:i w:val="0"/>
          <w:sz w:val="17"/>
        </w:rPr>
      </w:lvl>
    </w:lvlOverride>
    <w:lvlOverride w:ilvl="3">
      <w:lvl w:ilvl="3">
        <w:start w:val="1"/>
        <w:numFmt w:val="lowerRoman"/>
        <w:pStyle w:val="Level4"/>
        <w:lvlText w:val="(%4)"/>
        <w:lvlJc w:val="left"/>
        <w:pPr>
          <w:tabs>
            <w:tab w:val="num" w:pos="2721"/>
          </w:tabs>
          <w:ind w:left="2721" w:hanging="680"/>
        </w:pPr>
        <w:rPr>
          <w:rFonts w:hint="default"/>
          <w:b w:val="0"/>
          <w:bCs w:val="0"/>
          <w:i w:val="0"/>
          <w:iCs w:val="0"/>
          <w:sz w:val="20"/>
        </w:rPr>
      </w:lvl>
    </w:lvlOverride>
    <w:lvlOverride w:ilvl="4">
      <w:lvl w:ilvl="4">
        <w:start w:val="1"/>
        <w:numFmt w:val="lowerLetter"/>
        <w:pStyle w:val="Level5"/>
        <w:lvlText w:val="(%5)"/>
        <w:lvlJc w:val="left"/>
        <w:pPr>
          <w:tabs>
            <w:tab w:val="num" w:pos="3402"/>
          </w:tabs>
          <w:ind w:left="3402" w:hanging="681"/>
        </w:pPr>
        <w:rPr>
          <w:rFonts w:hint="default"/>
          <w:b w:val="0"/>
          <w:bCs w:val="0"/>
          <w:i w:val="0"/>
          <w:iCs w:val="0"/>
          <w:sz w:val="20"/>
        </w:rPr>
      </w:lvl>
    </w:lvlOverride>
    <w:lvlOverride w:ilvl="5">
      <w:lvl w:ilvl="5">
        <w:start w:val="1"/>
        <w:numFmt w:val="upperRoman"/>
        <w:pStyle w:val="Level6"/>
        <w:lvlText w:val="(%6)"/>
        <w:lvlJc w:val="left"/>
        <w:pPr>
          <w:tabs>
            <w:tab w:val="num" w:pos="4082"/>
          </w:tabs>
          <w:ind w:left="4082" w:hanging="680"/>
        </w:pPr>
        <w:rPr>
          <w:rFonts w:hint="default"/>
          <w:sz w:val="20"/>
        </w:rPr>
      </w:lvl>
    </w:lvlOverride>
    <w:lvlOverride w:ilvl="6">
      <w:lvl w:ilvl="6">
        <w:start w:val="1"/>
        <w:numFmt w:val="none"/>
        <w:pStyle w:val="Level7"/>
        <w:lvlText w:val=""/>
        <w:lvlJc w:val="left"/>
        <w:pPr>
          <w:tabs>
            <w:tab w:val="num" w:pos="4082"/>
          </w:tabs>
          <w:ind w:left="4082" w:hanging="680"/>
        </w:pPr>
        <w:rPr>
          <w:rFonts w:hint="default"/>
        </w:rPr>
      </w:lvl>
    </w:lvlOverride>
    <w:lvlOverride w:ilvl="7">
      <w:lvl w:ilvl="7">
        <w:start w:val="1"/>
        <w:numFmt w:val="none"/>
        <w:pStyle w:val="Level8"/>
        <w:lvlText w:val=""/>
        <w:lvlJc w:val="left"/>
        <w:pPr>
          <w:tabs>
            <w:tab w:val="num" w:pos="4082"/>
          </w:tabs>
          <w:ind w:left="4082" w:hanging="680"/>
        </w:pPr>
        <w:rPr>
          <w:rFonts w:hint="default"/>
        </w:rPr>
      </w:lvl>
    </w:lvlOverride>
    <w:lvlOverride w:ilvl="8">
      <w:lvl w:ilvl="8">
        <w:start w:val="1"/>
        <w:numFmt w:val="none"/>
        <w:pStyle w:val="Level9"/>
        <w:lvlText w:val=""/>
        <w:lvlJc w:val="left"/>
        <w:pPr>
          <w:tabs>
            <w:tab w:val="num" w:pos="4082"/>
          </w:tabs>
          <w:ind w:left="4082" w:hanging="680"/>
        </w:pPr>
        <w:rPr>
          <w:rFonts w:hint="default"/>
        </w:rPr>
      </w:lvl>
    </w:lvlOverride>
  </w:num>
  <w:num w:numId="136" w16cid:durableId="1179739462">
    <w:abstractNumId w:val="15"/>
    <w:lvlOverride w:ilvl="0">
      <w:lvl w:ilvl="0">
        <w:start w:val="1"/>
        <w:numFmt w:val="decimal"/>
        <w:pStyle w:val="Level1"/>
        <w:lvlText w:val="%1"/>
        <w:lvlJc w:val="left"/>
        <w:pPr>
          <w:tabs>
            <w:tab w:val="num" w:pos="1360"/>
          </w:tabs>
          <w:ind w:left="1360" w:hanging="680"/>
        </w:pPr>
        <w:rPr>
          <w:rFonts w:hAnsi="Arial" w:cs="Times New Roman" w:hint="default"/>
          <w:b/>
          <w:i w:val="0"/>
          <w:sz w:val="22"/>
        </w:rPr>
      </w:lvl>
    </w:lvlOverride>
    <w:lvlOverride w:ilvl="1">
      <w:lvl w:ilvl="1">
        <w:start w:val="1"/>
        <w:numFmt w:val="decimal"/>
        <w:pStyle w:val="Level2"/>
        <w:lvlText w:val="%1.%2"/>
        <w:lvlJc w:val="left"/>
        <w:pPr>
          <w:tabs>
            <w:tab w:val="num" w:pos="1360"/>
          </w:tabs>
          <w:ind w:left="1360" w:hanging="680"/>
        </w:pPr>
        <w:rPr>
          <w:rFonts w:hint="default"/>
          <w:b/>
          <w:i w:val="0"/>
          <w:sz w:val="21"/>
        </w:rPr>
      </w:lvl>
    </w:lvlOverride>
    <w:lvlOverride w:ilvl="2">
      <w:lvl w:ilvl="2">
        <w:start w:val="1"/>
        <w:numFmt w:val="decimal"/>
        <w:pStyle w:val="Level3"/>
        <w:lvlText w:val="%1.%2.%3"/>
        <w:lvlJc w:val="left"/>
        <w:pPr>
          <w:tabs>
            <w:tab w:val="num" w:pos="2041"/>
          </w:tabs>
          <w:ind w:left="2041" w:hanging="681"/>
        </w:pPr>
        <w:rPr>
          <w:rFonts w:hint="default"/>
          <w:b/>
          <w:i w:val="0"/>
          <w:sz w:val="17"/>
        </w:rPr>
      </w:lvl>
    </w:lvlOverride>
    <w:lvlOverride w:ilvl="3">
      <w:lvl w:ilvl="3">
        <w:start w:val="1"/>
        <w:numFmt w:val="lowerRoman"/>
        <w:pStyle w:val="Level4"/>
        <w:lvlText w:val="(%4)"/>
        <w:lvlJc w:val="left"/>
        <w:pPr>
          <w:tabs>
            <w:tab w:val="num" w:pos="2721"/>
          </w:tabs>
          <w:ind w:left="2721" w:hanging="680"/>
        </w:pPr>
        <w:rPr>
          <w:rFonts w:hint="default"/>
          <w:b w:val="0"/>
          <w:bCs w:val="0"/>
          <w:i w:val="0"/>
          <w:iCs w:val="0"/>
          <w:sz w:val="20"/>
        </w:rPr>
      </w:lvl>
    </w:lvlOverride>
    <w:lvlOverride w:ilvl="4">
      <w:lvl w:ilvl="4">
        <w:start w:val="1"/>
        <w:numFmt w:val="lowerLetter"/>
        <w:pStyle w:val="Level5"/>
        <w:lvlText w:val="(%5)"/>
        <w:lvlJc w:val="left"/>
        <w:pPr>
          <w:tabs>
            <w:tab w:val="num" w:pos="3402"/>
          </w:tabs>
          <w:ind w:left="3402" w:hanging="681"/>
        </w:pPr>
        <w:rPr>
          <w:rFonts w:hint="default"/>
          <w:b w:val="0"/>
          <w:bCs w:val="0"/>
          <w:i w:val="0"/>
          <w:iCs w:val="0"/>
          <w:sz w:val="20"/>
        </w:rPr>
      </w:lvl>
    </w:lvlOverride>
    <w:lvlOverride w:ilvl="5">
      <w:lvl w:ilvl="5">
        <w:start w:val="1"/>
        <w:numFmt w:val="upperRoman"/>
        <w:pStyle w:val="Level6"/>
        <w:lvlText w:val="(%6)"/>
        <w:lvlJc w:val="left"/>
        <w:pPr>
          <w:tabs>
            <w:tab w:val="num" w:pos="4082"/>
          </w:tabs>
          <w:ind w:left="4082" w:hanging="680"/>
        </w:pPr>
        <w:rPr>
          <w:rFonts w:hint="default"/>
          <w:sz w:val="20"/>
        </w:rPr>
      </w:lvl>
    </w:lvlOverride>
    <w:lvlOverride w:ilvl="6">
      <w:lvl w:ilvl="6">
        <w:start w:val="1"/>
        <w:numFmt w:val="none"/>
        <w:pStyle w:val="Level7"/>
        <w:lvlText w:val=""/>
        <w:lvlJc w:val="left"/>
        <w:pPr>
          <w:tabs>
            <w:tab w:val="num" w:pos="4082"/>
          </w:tabs>
          <w:ind w:left="4082" w:hanging="680"/>
        </w:pPr>
        <w:rPr>
          <w:rFonts w:hint="default"/>
        </w:rPr>
      </w:lvl>
    </w:lvlOverride>
    <w:lvlOverride w:ilvl="7">
      <w:lvl w:ilvl="7">
        <w:start w:val="1"/>
        <w:numFmt w:val="none"/>
        <w:pStyle w:val="Level8"/>
        <w:lvlText w:val=""/>
        <w:lvlJc w:val="left"/>
        <w:pPr>
          <w:tabs>
            <w:tab w:val="num" w:pos="4082"/>
          </w:tabs>
          <w:ind w:left="4082" w:hanging="680"/>
        </w:pPr>
        <w:rPr>
          <w:rFonts w:hint="default"/>
        </w:rPr>
      </w:lvl>
    </w:lvlOverride>
    <w:lvlOverride w:ilvl="8">
      <w:lvl w:ilvl="8">
        <w:start w:val="1"/>
        <w:numFmt w:val="none"/>
        <w:pStyle w:val="Level9"/>
        <w:lvlText w:val=""/>
        <w:lvlJc w:val="left"/>
        <w:pPr>
          <w:tabs>
            <w:tab w:val="num" w:pos="4082"/>
          </w:tabs>
          <w:ind w:left="4082" w:hanging="680"/>
        </w:pPr>
        <w:rPr>
          <w:rFonts w:hint="default"/>
        </w:rPr>
      </w:lvl>
    </w:lvlOverride>
  </w:num>
  <w:num w:numId="137" w16cid:durableId="669791429">
    <w:abstractNumId w:val="15"/>
    <w:lvlOverride w:ilvl="0">
      <w:lvl w:ilvl="0">
        <w:start w:val="1"/>
        <w:numFmt w:val="decimal"/>
        <w:pStyle w:val="Level1"/>
        <w:lvlText w:val="%1"/>
        <w:lvlJc w:val="left"/>
        <w:pPr>
          <w:tabs>
            <w:tab w:val="num" w:pos="1360"/>
          </w:tabs>
          <w:ind w:left="1360" w:hanging="680"/>
        </w:pPr>
        <w:rPr>
          <w:rFonts w:hAnsi="Arial" w:cs="Times New Roman" w:hint="default"/>
          <w:b/>
          <w:i w:val="0"/>
          <w:sz w:val="22"/>
        </w:rPr>
      </w:lvl>
    </w:lvlOverride>
    <w:lvlOverride w:ilvl="1">
      <w:lvl w:ilvl="1">
        <w:start w:val="1"/>
        <w:numFmt w:val="decimal"/>
        <w:pStyle w:val="Level2"/>
        <w:lvlText w:val="%1.%2"/>
        <w:lvlJc w:val="left"/>
        <w:pPr>
          <w:tabs>
            <w:tab w:val="num" w:pos="1360"/>
          </w:tabs>
          <w:ind w:left="1360" w:hanging="680"/>
        </w:pPr>
        <w:rPr>
          <w:rFonts w:hint="default"/>
          <w:b/>
          <w:i w:val="0"/>
          <w:sz w:val="21"/>
        </w:rPr>
      </w:lvl>
    </w:lvlOverride>
    <w:lvlOverride w:ilvl="2">
      <w:lvl w:ilvl="2">
        <w:start w:val="1"/>
        <w:numFmt w:val="decimal"/>
        <w:pStyle w:val="Level3"/>
        <w:lvlText w:val="%1.%2.%3"/>
        <w:lvlJc w:val="left"/>
        <w:pPr>
          <w:tabs>
            <w:tab w:val="num" w:pos="2041"/>
          </w:tabs>
          <w:ind w:left="2041" w:hanging="681"/>
        </w:pPr>
        <w:rPr>
          <w:rFonts w:hint="default"/>
          <w:b/>
          <w:i w:val="0"/>
          <w:sz w:val="17"/>
        </w:rPr>
      </w:lvl>
    </w:lvlOverride>
    <w:lvlOverride w:ilvl="3">
      <w:lvl w:ilvl="3">
        <w:start w:val="1"/>
        <w:numFmt w:val="lowerRoman"/>
        <w:pStyle w:val="Level4"/>
        <w:lvlText w:val="(%4)"/>
        <w:lvlJc w:val="left"/>
        <w:pPr>
          <w:tabs>
            <w:tab w:val="num" w:pos="2721"/>
          </w:tabs>
          <w:ind w:left="2721" w:hanging="680"/>
        </w:pPr>
        <w:rPr>
          <w:rFonts w:hint="default"/>
          <w:b w:val="0"/>
          <w:bCs w:val="0"/>
          <w:i w:val="0"/>
          <w:iCs w:val="0"/>
          <w:sz w:val="20"/>
        </w:rPr>
      </w:lvl>
    </w:lvlOverride>
    <w:lvlOverride w:ilvl="4">
      <w:lvl w:ilvl="4">
        <w:start w:val="1"/>
        <w:numFmt w:val="lowerLetter"/>
        <w:pStyle w:val="Level5"/>
        <w:lvlText w:val="(%5)"/>
        <w:lvlJc w:val="left"/>
        <w:pPr>
          <w:tabs>
            <w:tab w:val="num" w:pos="3402"/>
          </w:tabs>
          <w:ind w:left="3402" w:hanging="681"/>
        </w:pPr>
        <w:rPr>
          <w:rFonts w:hint="default"/>
          <w:b w:val="0"/>
          <w:bCs w:val="0"/>
          <w:i w:val="0"/>
          <w:iCs w:val="0"/>
          <w:sz w:val="20"/>
        </w:rPr>
      </w:lvl>
    </w:lvlOverride>
    <w:lvlOverride w:ilvl="5">
      <w:lvl w:ilvl="5">
        <w:start w:val="1"/>
        <w:numFmt w:val="upperRoman"/>
        <w:pStyle w:val="Level6"/>
        <w:lvlText w:val="(%6)"/>
        <w:lvlJc w:val="left"/>
        <w:pPr>
          <w:tabs>
            <w:tab w:val="num" w:pos="4082"/>
          </w:tabs>
          <w:ind w:left="4082" w:hanging="680"/>
        </w:pPr>
        <w:rPr>
          <w:rFonts w:hint="default"/>
          <w:sz w:val="20"/>
        </w:rPr>
      </w:lvl>
    </w:lvlOverride>
    <w:lvlOverride w:ilvl="6">
      <w:lvl w:ilvl="6">
        <w:start w:val="1"/>
        <w:numFmt w:val="none"/>
        <w:pStyle w:val="Level7"/>
        <w:lvlText w:val=""/>
        <w:lvlJc w:val="left"/>
        <w:pPr>
          <w:tabs>
            <w:tab w:val="num" w:pos="4082"/>
          </w:tabs>
          <w:ind w:left="4082" w:hanging="680"/>
        </w:pPr>
        <w:rPr>
          <w:rFonts w:hint="default"/>
        </w:rPr>
      </w:lvl>
    </w:lvlOverride>
    <w:lvlOverride w:ilvl="7">
      <w:lvl w:ilvl="7">
        <w:start w:val="1"/>
        <w:numFmt w:val="none"/>
        <w:pStyle w:val="Level8"/>
        <w:lvlText w:val=""/>
        <w:lvlJc w:val="left"/>
        <w:pPr>
          <w:tabs>
            <w:tab w:val="num" w:pos="4082"/>
          </w:tabs>
          <w:ind w:left="4082" w:hanging="680"/>
        </w:pPr>
        <w:rPr>
          <w:rFonts w:hint="default"/>
        </w:rPr>
      </w:lvl>
    </w:lvlOverride>
    <w:lvlOverride w:ilvl="8">
      <w:lvl w:ilvl="8">
        <w:start w:val="1"/>
        <w:numFmt w:val="none"/>
        <w:pStyle w:val="Level9"/>
        <w:lvlText w:val=""/>
        <w:lvlJc w:val="left"/>
        <w:pPr>
          <w:tabs>
            <w:tab w:val="num" w:pos="4082"/>
          </w:tabs>
          <w:ind w:left="4082" w:hanging="680"/>
        </w:pPr>
        <w:rPr>
          <w:rFonts w:hint="default"/>
        </w:rPr>
      </w:lvl>
    </w:lvlOverride>
  </w:num>
  <w:num w:numId="138" w16cid:durableId="200213315">
    <w:abstractNumId w:val="15"/>
    <w:lvlOverride w:ilvl="0">
      <w:lvl w:ilvl="0">
        <w:start w:val="1"/>
        <w:numFmt w:val="decimal"/>
        <w:pStyle w:val="Level1"/>
        <w:lvlText w:val="%1"/>
        <w:lvlJc w:val="left"/>
        <w:pPr>
          <w:tabs>
            <w:tab w:val="num" w:pos="1360"/>
          </w:tabs>
          <w:ind w:left="1360" w:hanging="680"/>
        </w:pPr>
        <w:rPr>
          <w:rFonts w:hAnsi="Arial" w:cs="Times New Roman" w:hint="default"/>
          <w:b/>
          <w:i w:val="0"/>
          <w:sz w:val="22"/>
        </w:rPr>
      </w:lvl>
    </w:lvlOverride>
    <w:lvlOverride w:ilvl="1">
      <w:lvl w:ilvl="1">
        <w:start w:val="1"/>
        <w:numFmt w:val="decimal"/>
        <w:pStyle w:val="Level2"/>
        <w:lvlText w:val="%1.%2"/>
        <w:lvlJc w:val="left"/>
        <w:pPr>
          <w:tabs>
            <w:tab w:val="num" w:pos="1360"/>
          </w:tabs>
          <w:ind w:left="1360" w:hanging="680"/>
        </w:pPr>
        <w:rPr>
          <w:rFonts w:hint="default"/>
          <w:b/>
          <w:i w:val="0"/>
          <w:sz w:val="21"/>
        </w:rPr>
      </w:lvl>
    </w:lvlOverride>
    <w:lvlOverride w:ilvl="2">
      <w:lvl w:ilvl="2">
        <w:start w:val="1"/>
        <w:numFmt w:val="decimal"/>
        <w:pStyle w:val="Level3"/>
        <w:lvlText w:val="%1.%2.%3"/>
        <w:lvlJc w:val="left"/>
        <w:pPr>
          <w:tabs>
            <w:tab w:val="num" w:pos="2041"/>
          </w:tabs>
          <w:ind w:left="2041" w:hanging="681"/>
        </w:pPr>
        <w:rPr>
          <w:rFonts w:hint="default"/>
          <w:b/>
          <w:i w:val="0"/>
          <w:sz w:val="17"/>
        </w:rPr>
      </w:lvl>
    </w:lvlOverride>
    <w:lvlOverride w:ilvl="3">
      <w:lvl w:ilvl="3">
        <w:start w:val="1"/>
        <w:numFmt w:val="lowerRoman"/>
        <w:pStyle w:val="Level4"/>
        <w:lvlText w:val="(%4)"/>
        <w:lvlJc w:val="left"/>
        <w:pPr>
          <w:tabs>
            <w:tab w:val="num" w:pos="2721"/>
          </w:tabs>
          <w:ind w:left="2721" w:hanging="680"/>
        </w:pPr>
        <w:rPr>
          <w:rFonts w:hint="default"/>
          <w:b w:val="0"/>
          <w:bCs w:val="0"/>
          <w:i w:val="0"/>
          <w:iCs w:val="0"/>
          <w:sz w:val="20"/>
        </w:rPr>
      </w:lvl>
    </w:lvlOverride>
    <w:lvlOverride w:ilvl="4">
      <w:lvl w:ilvl="4">
        <w:start w:val="1"/>
        <w:numFmt w:val="lowerLetter"/>
        <w:pStyle w:val="Level5"/>
        <w:lvlText w:val="(%5)"/>
        <w:lvlJc w:val="left"/>
        <w:pPr>
          <w:tabs>
            <w:tab w:val="num" w:pos="3402"/>
          </w:tabs>
          <w:ind w:left="3402" w:hanging="681"/>
        </w:pPr>
        <w:rPr>
          <w:rFonts w:hint="default"/>
          <w:b w:val="0"/>
          <w:bCs w:val="0"/>
          <w:i w:val="0"/>
          <w:iCs w:val="0"/>
          <w:sz w:val="20"/>
        </w:rPr>
      </w:lvl>
    </w:lvlOverride>
    <w:lvlOverride w:ilvl="5">
      <w:lvl w:ilvl="5">
        <w:start w:val="1"/>
        <w:numFmt w:val="upperRoman"/>
        <w:pStyle w:val="Level6"/>
        <w:lvlText w:val="(%6)"/>
        <w:lvlJc w:val="left"/>
        <w:pPr>
          <w:tabs>
            <w:tab w:val="num" w:pos="4082"/>
          </w:tabs>
          <w:ind w:left="4082" w:hanging="680"/>
        </w:pPr>
        <w:rPr>
          <w:rFonts w:hint="default"/>
          <w:sz w:val="20"/>
        </w:rPr>
      </w:lvl>
    </w:lvlOverride>
    <w:lvlOverride w:ilvl="6">
      <w:lvl w:ilvl="6">
        <w:start w:val="1"/>
        <w:numFmt w:val="none"/>
        <w:pStyle w:val="Level7"/>
        <w:lvlText w:val=""/>
        <w:lvlJc w:val="left"/>
        <w:pPr>
          <w:tabs>
            <w:tab w:val="num" w:pos="4082"/>
          </w:tabs>
          <w:ind w:left="4082" w:hanging="680"/>
        </w:pPr>
        <w:rPr>
          <w:rFonts w:hint="default"/>
        </w:rPr>
      </w:lvl>
    </w:lvlOverride>
    <w:lvlOverride w:ilvl="7">
      <w:lvl w:ilvl="7">
        <w:start w:val="1"/>
        <w:numFmt w:val="none"/>
        <w:pStyle w:val="Level8"/>
        <w:lvlText w:val=""/>
        <w:lvlJc w:val="left"/>
        <w:pPr>
          <w:tabs>
            <w:tab w:val="num" w:pos="4082"/>
          </w:tabs>
          <w:ind w:left="4082" w:hanging="680"/>
        </w:pPr>
        <w:rPr>
          <w:rFonts w:hint="default"/>
        </w:rPr>
      </w:lvl>
    </w:lvlOverride>
    <w:lvlOverride w:ilvl="8">
      <w:lvl w:ilvl="8">
        <w:start w:val="1"/>
        <w:numFmt w:val="none"/>
        <w:pStyle w:val="Level9"/>
        <w:lvlText w:val=""/>
        <w:lvlJc w:val="left"/>
        <w:pPr>
          <w:tabs>
            <w:tab w:val="num" w:pos="4082"/>
          </w:tabs>
          <w:ind w:left="4082" w:hanging="680"/>
        </w:pPr>
        <w:rPr>
          <w:rFonts w:hint="default"/>
        </w:rPr>
      </w:lvl>
    </w:lvlOverride>
  </w:num>
  <w:num w:numId="139" w16cid:durableId="1576937581">
    <w:abstractNumId w:val="15"/>
    <w:lvlOverride w:ilvl="0">
      <w:lvl w:ilvl="0">
        <w:start w:val="1"/>
        <w:numFmt w:val="decimal"/>
        <w:pStyle w:val="Level1"/>
        <w:lvlText w:val="%1"/>
        <w:lvlJc w:val="left"/>
        <w:pPr>
          <w:tabs>
            <w:tab w:val="num" w:pos="1360"/>
          </w:tabs>
          <w:ind w:left="1360" w:hanging="680"/>
        </w:pPr>
        <w:rPr>
          <w:rFonts w:hAnsi="Arial" w:cs="Times New Roman" w:hint="default"/>
          <w:b/>
          <w:i w:val="0"/>
          <w:sz w:val="22"/>
        </w:rPr>
      </w:lvl>
    </w:lvlOverride>
    <w:lvlOverride w:ilvl="1">
      <w:lvl w:ilvl="1">
        <w:start w:val="1"/>
        <w:numFmt w:val="decimal"/>
        <w:pStyle w:val="Level2"/>
        <w:lvlText w:val="%1.%2"/>
        <w:lvlJc w:val="left"/>
        <w:pPr>
          <w:tabs>
            <w:tab w:val="num" w:pos="1360"/>
          </w:tabs>
          <w:ind w:left="1360" w:hanging="680"/>
        </w:pPr>
        <w:rPr>
          <w:rFonts w:hint="default"/>
          <w:b/>
          <w:i w:val="0"/>
          <w:sz w:val="21"/>
        </w:rPr>
      </w:lvl>
    </w:lvlOverride>
    <w:lvlOverride w:ilvl="2">
      <w:lvl w:ilvl="2">
        <w:start w:val="1"/>
        <w:numFmt w:val="decimal"/>
        <w:pStyle w:val="Level3"/>
        <w:lvlText w:val="%1.%2.%3"/>
        <w:lvlJc w:val="left"/>
        <w:pPr>
          <w:tabs>
            <w:tab w:val="num" w:pos="2041"/>
          </w:tabs>
          <w:ind w:left="2041" w:hanging="681"/>
        </w:pPr>
        <w:rPr>
          <w:rFonts w:hint="default"/>
          <w:b/>
          <w:i w:val="0"/>
          <w:sz w:val="17"/>
        </w:rPr>
      </w:lvl>
    </w:lvlOverride>
    <w:lvlOverride w:ilvl="3">
      <w:lvl w:ilvl="3">
        <w:start w:val="1"/>
        <w:numFmt w:val="lowerRoman"/>
        <w:pStyle w:val="Level4"/>
        <w:lvlText w:val="(%4)"/>
        <w:lvlJc w:val="left"/>
        <w:pPr>
          <w:tabs>
            <w:tab w:val="num" w:pos="2721"/>
          </w:tabs>
          <w:ind w:left="2721" w:hanging="680"/>
        </w:pPr>
        <w:rPr>
          <w:rFonts w:hint="default"/>
          <w:b w:val="0"/>
          <w:bCs w:val="0"/>
          <w:i w:val="0"/>
          <w:iCs w:val="0"/>
          <w:sz w:val="20"/>
        </w:rPr>
      </w:lvl>
    </w:lvlOverride>
    <w:lvlOverride w:ilvl="4">
      <w:lvl w:ilvl="4">
        <w:start w:val="1"/>
        <w:numFmt w:val="lowerLetter"/>
        <w:pStyle w:val="Level5"/>
        <w:lvlText w:val="(%5)"/>
        <w:lvlJc w:val="left"/>
        <w:pPr>
          <w:tabs>
            <w:tab w:val="num" w:pos="3402"/>
          </w:tabs>
          <w:ind w:left="3402" w:hanging="681"/>
        </w:pPr>
        <w:rPr>
          <w:rFonts w:hint="default"/>
          <w:b w:val="0"/>
          <w:bCs w:val="0"/>
          <w:i w:val="0"/>
          <w:iCs w:val="0"/>
          <w:sz w:val="20"/>
        </w:rPr>
      </w:lvl>
    </w:lvlOverride>
    <w:lvlOverride w:ilvl="5">
      <w:lvl w:ilvl="5">
        <w:start w:val="1"/>
        <w:numFmt w:val="upperRoman"/>
        <w:pStyle w:val="Level6"/>
        <w:lvlText w:val="(%6)"/>
        <w:lvlJc w:val="left"/>
        <w:pPr>
          <w:tabs>
            <w:tab w:val="num" w:pos="4082"/>
          </w:tabs>
          <w:ind w:left="4082" w:hanging="680"/>
        </w:pPr>
        <w:rPr>
          <w:rFonts w:hint="default"/>
          <w:sz w:val="20"/>
        </w:rPr>
      </w:lvl>
    </w:lvlOverride>
    <w:lvlOverride w:ilvl="6">
      <w:lvl w:ilvl="6">
        <w:start w:val="1"/>
        <w:numFmt w:val="none"/>
        <w:pStyle w:val="Level7"/>
        <w:lvlText w:val=""/>
        <w:lvlJc w:val="left"/>
        <w:pPr>
          <w:tabs>
            <w:tab w:val="num" w:pos="4082"/>
          </w:tabs>
          <w:ind w:left="4082" w:hanging="680"/>
        </w:pPr>
        <w:rPr>
          <w:rFonts w:hint="default"/>
        </w:rPr>
      </w:lvl>
    </w:lvlOverride>
    <w:lvlOverride w:ilvl="7">
      <w:lvl w:ilvl="7">
        <w:start w:val="1"/>
        <w:numFmt w:val="none"/>
        <w:pStyle w:val="Level8"/>
        <w:lvlText w:val=""/>
        <w:lvlJc w:val="left"/>
        <w:pPr>
          <w:tabs>
            <w:tab w:val="num" w:pos="4082"/>
          </w:tabs>
          <w:ind w:left="4082" w:hanging="680"/>
        </w:pPr>
        <w:rPr>
          <w:rFonts w:hint="default"/>
        </w:rPr>
      </w:lvl>
    </w:lvlOverride>
    <w:lvlOverride w:ilvl="8">
      <w:lvl w:ilvl="8">
        <w:start w:val="1"/>
        <w:numFmt w:val="none"/>
        <w:pStyle w:val="Level9"/>
        <w:lvlText w:val=""/>
        <w:lvlJc w:val="left"/>
        <w:pPr>
          <w:tabs>
            <w:tab w:val="num" w:pos="4082"/>
          </w:tabs>
          <w:ind w:left="4082" w:hanging="680"/>
        </w:pPr>
        <w:rPr>
          <w:rFonts w:hint="default"/>
        </w:rPr>
      </w:lvl>
    </w:lvlOverride>
  </w:num>
  <w:num w:numId="140" w16cid:durableId="1569926186">
    <w:abstractNumId w:val="15"/>
    <w:lvlOverride w:ilvl="0">
      <w:lvl w:ilvl="0">
        <w:start w:val="1"/>
        <w:numFmt w:val="decimal"/>
        <w:pStyle w:val="Level1"/>
        <w:lvlText w:val="%1"/>
        <w:lvlJc w:val="left"/>
        <w:pPr>
          <w:tabs>
            <w:tab w:val="num" w:pos="1360"/>
          </w:tabs>
          <w:ind w:left="1360" w:hanging="680"/>
        </w:pPr>
        <w:rPr>
          <w:rFonts w:hAnsi="Arial" w:cs="Times New Roman" w:hint="default"/>
          <w:b/>
          <w:i w:val="0"/>
          <w:sz w:val="22"/>
        </w:rPr>
      </w:lvl>
    </w:lvlOverride>
    <w:lvlOverride w:ilvl="1">
      <w:lvl w:ilvl="1">
        <w:start w:val="1"/>
        <w:numFmt w:val="decimal"/>
        <w:pStyle w:val="Level2"/>
        <w:lvlText w:val="%1.%2"/>
        <w:lvlJc w:val="left"/>
        <w:pPr>
          <w:tabs>
            <w:tab w:val="num" w:pos="1360"/>
          </w:tabs>
          <w:ind w:left="1360" w:hanging="680"/>
        </w:pPr>
        <w:rPr>
          <w:rFonts w:hint="default"/>
          <w:b/>
          <w:i w:val="0"/>
          <w:sz w:val="21"/>
        </w:rPr>
      </w:lvl>
    </w:lvlOverride>
    <w:lvlOverride w:ilvl="2">
      <w:lvl w:ilvl="2">
        <w:start w:val="1"/>
        <w:numFmt w:val="decimal"/>
        <w:pStyle w:val="Level3"/>
        <w:lvlText w:val="%1.%2.%3"/>
        <w:lvlJc w:val="left"/>
        <w:pPr>
          <w:tabs>
            <w:tab w:val="num" w:pos="2041"/>
          </w:tabs>
          <w:ind w:left="2041" w:hanging="681"/>
        </w:pPr>
        <w:rPr>
          <w:rFonts w:hint="default"/>
          <w:b/>
          <w:i w:val="0"/>
          <w:sz w:val="17"/>
        </w:rPr>
      </w:lvl>
    </w:lvlOverride>
    <w:lvlOverride w:ilvl="3">
      <w:lvl w:ilvl="3">
        <w:start w:val="1"/>
        <w:numFmt w:val="lowerRoman"/>
        <w:pStyle w:val="Level4"/>
        <w:lvlText w:val="(%4)"/>
        <w:lvlJc w:val="left"/>
        <w:pPr>
          <w:tabs>
            <w:tab w:val="num" w:pos="2721"/>
          </w:tabs>
          <w:ind w:left="2721" w:hanging="680"/>
        </w:pPr>
        <w:rPr>
          <w:rFonts w:hint="default"/>
          <w:b w:val="0"/>
          <w:bCs w:val="0"/>
          <w:i w:val="0"/>
          <w:iCs w:val="0"/>
          <w:sz w:val="20"/>
        </w:rPr>
      </w:lvl>
    </w:lvlOverride>
    <w:lvlOverride w:ilvl="4">
      <w:lvl w:ilvl="4">
        <w:start w:val="1"/>
        <w:numFmt w:val="lowerLetter"/>
        <w:pStyle w:val="Level5"/>
        <w:lvlText w:val="(%5)"/>
        <w:lvlJc w:val="left"/>
        <w:pPr>
          <w:tabs>
            <w:tab w:val="num" w:pos="3402"/>
          </w:tabs>
          <w:ind w:left="3402" w:hanging="681"/>
        </w:pPr>
        <w:rPr>
          <w:rFonts w:hint="default"/>
          <w:b w:val="0"/>
          <w:bCs w:val="0"/>
          <w:i w:val="0"/>
          <w:iCs w:val="0"/>
          <w:sz w:val="20"/>
        </w:rPr>
      </w:lvl>
    </w:lvlOverride>
    <w:lvlOverride w:ilvl="5">
      <w:lvl w:ilvl="5">
        <w:start w:val="1"/>
        <w:numFmt w:val="upperRoman"/>
        <w:pStyle w:val="Level6"/>
        <w:lvlText w:val="(%6)"/>
        <w:lvlJc w:val="left"/>
        <w:pPr>
          <w:tabs>
            <w:tab w:val="num" w:pos="4082"/>
          </w:tabs>
          <w:ind w:left="4082" w:hanging="680"/>
        </w:pPr>
        <w:rPr>
          <w:rFonts w:hint="default"/>
          <w:sz w:val="20"/>
        </w:rPr>
      </w:lvl>
    </w:lvlOverride>
    <w:lvlOverride w:ilvl="6">
      <w:lvl w:ilvl="6">
        <w:start w:val="1"/>
        <w:numFmt w:val="none"/>
        <w:pStyle w:val="Level7"/>
        <w:lvlText w:val=""/>
        <w:lvlJc w:val="left"/>
        <w:pPr>
          <w:tabs>
            <w:tab w:val="num" w:pos="4082"/>
          </w:tabs>
          <w:ind w:left="4082" w:hanging="680"/>
        </w:pPr>
        <w:rPr>
          <w:rFonts w:hint="default"/>
        </w:rPr>
      </w:lvl>
    </w:lvlOverride>
    <w:lvlOverride w:ilvl="7">
      <w:lvl w:ilvl="7">
        <w:start w:val="1"/>
        <w:numFmt w:val="none"/>
        <w:pStyle w:val="Level8"/>
        <w:lvlText w:val=""/>
        <w:lvlJc w:val="left"/>
        <w:pPr>
          <w:tabs>
            <w:tab w:val="num" w:pos="4082"/>
          </w:tabs>
          <w:ind w:left="4082" w:hanging="680"/>
        </w:pPr>
        <w:rPr>
          <w:rFonts w:hint="default"/>
        </w:rPr>
      </w:lvl>
    </w:lvlOverride>
    <w:lvlOverride w:ilvl="8">
      <w:lvl w:ilvl="8">
        <w:start w:val="1"/>
        <w:numFmt w:val="none"/>
        <w:pStyle w:val="Level9"/>
        <w:lvlText w:val=""/>
        <w:lvlJc w:val="left"/>
        <w:pPr>
          <w:tabs>
            <w:tab w:val="num" w:pos="4082"/>
          </w:tabs>
          <w:ind w:left="4082" w:hanging="680"/>
        </w:pPr>
        <w:rPr>
          <w:rFonts w:hint="default"/>
        </w:rPr>
      </w:lvl>
    </w:lvlOverride>
  </w:num>
  <w:num w:numId="141" w16cid:durableId="1126654877">
    <w:abstractNumId w:val="15"/>
    <w:lvlOverride w:ilvl="0">
      <w:lvl w:ilvl="0">
        <w:start w:val="1"/>
        <w:numFmt w:val="decimal"/>
        <w:pStyle w:val="Level1"/>
        <w:lvlText w:val="%1"/>
        <w:lvlJc w:val="left"/>
        <w:pPr>
          <w:tabs>
            <w:tab w:val="num" w:pos="1360"/>
          </w:tabs>
          <w:ind w:left="1360" w:hanging="680"/>
        </w:pPr>
        <w:rPr>
          <w:rFonts w:hAnsi="Arial" w:cs="Times New Roman" w:hint="default"/>
          <w:b/>
          <w:i w:val="0"/>
          <w:sz w:val="22"/>
        </w:rPr>
      </w:lvl>
    </w:lvlOverride>
    <w:lvlOverride w:ilvl="1">
      <w:lvl w:ilvl="1">
        <w:start w:val="1"/>
        <w:numFmt w:val="decimal"/>
        <w:pStyle w:val="Level2"/>
        <w:lvlText w:val="%1.%2"/>
        <w:lvlJc w:val="left"/>
        <w:pPr>
          <w:tabs>
            <w:tab w:val="num" w:pos="1360"/>
          </w:tabs>
          <w:ind w:left="1360" w:hanging="680"/>
        </w:pPr>
        <w:rPr>
          <w:rFonts w:hint="default"/>
          <w:b/>
          <w:i w:val="0"/>
          <w:sz w:val="21"/>
        </w:rPr>
      </w:lvl>
    </w:lvlOverride>
    <w:lvlOverride w:ilvl="2">
      <w:lvl w:ilvl="2">
        <w:start w:val="1"/>
        <w:numFmt w:val="decimal"/>
        <w:pStyle w:val="Level3"/>
        <w:lvlText w:val="%1.%2.%3"/>
        <w:lvlJc w:val="left"/>
        <w:pPr>
          <w:tabs>
            <w:tab w:val="num" w:pos="2041"/>
          </w:tabs>
          <w:ind w:left="2041" w:hanging="681"/>
        </w:pPr>
        <w:rPr>
          <w:rFonts w:hint="default"/>
          <w:b/>
          <w:i w:val="0"/>
          <w:sz w:val="17"/>
        </w:rPr>
      </w:lvl>
    </w:lvlOverride>
    <w:lvlOverride w:ilvl="3">
      <w:lvl w:ilvl="3">
        <w:start w:val="1"/>
        <w:numFmt w:val="lowerRoman"/>
        <w:pStyle w:val="Level4"/>
        <w:lvlText w:val="(%4)"/>
        <w:lvlJc w:val="left"/>
        <w:pPr>
          <w:tabs>
            <w:tab w:val="num" w:pos="2721"/>
          </w:tabs>
          <w:ind w:left="2721" w:hanging="680"/>
        </w:pPr>
        <w:rPr>
          <w:rFonts w:hint="default"/>
          <w:b w:val="0"/>
          <w:bCs w:val="0"/>
          <w:i w:val="0"/>
          <w:iCs w:val="0"/>
          <w:sz w:val="20"/>
        </w:rPr>
      </w:lvl>
    </w:lvlOverride>
    <w:lvlOverride w:ilvl="4">
      <w:lvl w:ilvl="4">
        <w:start w:val="1"/>
        <w:numFmt w:val="lowerLetter"/>
        <w:pStyle w:val="Level5"/>
        <w:lvlText w:val="(%5)"/>
        <w:lvlJc w:val="left"/>
        <w:pPr>
          <w:tabs>
            <w:tab w:val="num" w:pos="3402"/>
          </w:tabs>
          <w:ind w:left="3402" w:hanging="681"/>
        </w:pPr>
        <w:rPr>
          <w:rFonts w:hint="default"/>
          <w:b w:val="0"/>
          <w:bCs w:val="0"/>
          <w:i w:val="0"/>
          <w:iCs w:val="0"/>
          <w:sz w:val="20"/>
        </w:rPr>
      </w:lvl>
    </w:lvlOverride>
    <w:lvlOverride w:ilvl="5">
      <w:lvl w:ilvl="5">
        <w:start w:val="1"/>
        <w:numFmt w:val="upperRoman"/>
        <w:pStyle w:val="Level6"/>
        <w:lvlText w:val="(%6)"/>
        <w:lvlJc w:val="left"/>
        <w:pPr>
          <w:tabs>
            <w:tab w:val="num" w:pos="4082"/>
          </w:tabs>
          <w:ind w:left="4082" w:hanging="680"/>
        </w:pPr>
        <w:rPr>
          <w:rFonts w:hint="default"/>
          <w:sz w:val="20"/>
        </w:rPr>
      </w:lvl>
    </w:lvlOverride>
    <w:lvlOverride w:ilvl="6">
      <w:lvl w:ilvl="6">
        <w:start w:val="1"/>
        <w:numFmt w:val="none"/>
        <w:pStyle w:val="Level7"/>
        <w:lvlText w:val=""/>
        <w:lvlJc w:val="left"/>
        <w:pPr>
          <w:tabs>
            <w:tab w:val="num" w:pos="4082"/>
          </w:tabs>
          <w:ind w:left="4082" w:hanging="680"/>
        </w:pPr>
        <w:rPr>
          <w:rFonts w:hint="default"/>
        </w:rPr>
      </w:lvl>
    </w:lvlOverride>
    <w:lvlOverride w:ilvl="7">
      <w:lvl w:ilvl="7">
        <w:start w:val="1"/>
        <w:numFmt w:val="none"/>
        <w:pStyle w:val="Level8"/>
        <w:lvlText w:val=""/>
        <w:lvlJc w:val="left"/>
        <w:pPr>
          <w:tabs>
            <w:tab w:val="num" w:pos="4082"/>
          </w:tabs>
          <w:ind w:left="4082" w:hanging="680"/>
        </w:pPr>
        <w:rPr>
          <w:rFonts w:hint="default"/>
        </w:rPr>
      </w:lvl>
    </w:lvlOverride>
    <w:lvlOverride w:ilvl="8">
      <w:lvl w:ilvl="8">
        <w:start w:val="1"/>
        <w:numFmt w:val="none"/>
        <w:pStyle w:val="Level9"/>
        <w:lvlText w:val=""/>
        <w:lvlJc w:val="left"/>
        <w:pPr>
          <w:tabs>
            <w:tab w:val="num" w:pos="4082"/>
          </w:tabs>
          <w:ind w:left="4082" w:hanging="680"/>
        </w:pPr>
        <w:rPr>
          <w:rFonts w:hint="default"/>
        </w:rPr>
      </w:lvl>
    </w:lvlOverride>
  </w:num>
  <w:num w:numId="142" w16cid:durableId="567308170">
    <w:abstractNumId w:val="15"/>
    <w:lvlOverride w:ilvl="0">
      <w:lvl w:ilvl="0">
        <w:start w:val="1"/>
        <w:numFmt w:val="decimal"/>
        <w:pStyle w:val="Level1"/>
        <w:lvlText w:val="%1"/>
        <w:lvlJc w:val="left"/>
        <w:pPr>
          <w:tabs>
            <w:tab w:val="num" w:pos="1360"/>
          </w:tabs>
          <w:ind w:left="1360" w:hanging="680"/>
        </w:pPr>
        <w:rPr>
          <w:rFonts w:hAnsi="Arial" w:cs="Times New Roman" w:hint="default"/>
          <w:b/>
          <w:i w:val="0"/>
          <w:sz w:val="22"/>
        </w:rPr>
      </w:lvl>
    </w:lvlOverride>
    <w:lvlOverride w:ilvl="1">
      <w:lvl w:ilvl="1">
        <w:start w:val="1"/>
        <w:numFmt w:val="decimal"/>
        <w:pStyle w:val="Level2"/>
        <w:lvlText w:val="%1.%2"/>
        <w:lvlJc w:val="left"/>
        <w:pPr>
          <w:tabs>
            <w:tab w:val="num" w:pos="1360"/>
          </w:tabs>
          <w:ind w:left="1360" w:hanging="680"/>
        </w:pPr>
        <w:rPr>
          <w:rFonts w:hint="default"/>
          <w:b/>
          <w:i w:val="0"/>
          <w:sz w:val="21"/>
        </w:rPr>
      </w:lvl>
    </w:lvlOverride>
    <w:lvlOverride w:ilvl="2">
      <w:lvl w:ilvl="2">
        <w:start w:val="1"/>
        <w:numFmt w:val="decimal"/>
        <w:pStyle w:val="Level3"/>
        <w:lvlText w:val="%1.%2.%3"/>
        <w:lvlJc w:val="left"/>
        <w:pPr>
          <w:tabs>
            <w:tab w:val="num" w:pos="2041"/>
          </w:tabs>
          <w:ind w:left="2041" w:hanging="681"/>
        </w:pPr>
        <w:rPr>
          <w:rFonts w:hint="default"/>
          <w:b/>
          <w:i w:val="0"/>
          <w:sz w:val="17"/>
        </w:rPr>
      </w:lvl>
    </w:lvlOverride>
    <w:lvlOverride w:ilvl="3">
      <w:lvl w:ilvl="3">
        <w:start w:val="1"/>
        <w:numFmt w:val="lowerRoman"/>
        <w:pStyle w:val="Level4"/>
        <w:lvlText w:val="(%4)"/>
        <w:lvlJc w:val="left"/>
        <w:pPr>
          <w:tabs>
            <w:tab w:val="num" w:pos="2721"/>
          </w:tabs>
          <w:ind w:left="2721" w:hanging="680"/>
        </w:pPr>
        <w:rPr>
          <w:rFonts w:hint="default"/>
          <w:b w:val="0"/>
          <w:bCs w:val="0"/>
          <w:i w:val="0"/>
          <w:iCs w:val="0"/>
          <w:sz w:val="20"/>
        </w:rPr>
      </w:lvl>
    </w:lvlOverride>
    <w:lvlOverride w:ilvl="4">
      <w:lvl w:ilvl="4">
        <w:start w:val="1"/>
        <w:numFmt w:val="lowerLetter"/>
        <w:pStyle w:val="Level5"/>
        <w:lvlText w:val="(%5)"/>
        <w:lvlJc w:val="left"/>
        <w:pPr>
          <w:tabs>
            <w:tab w:val="num" w:pos="3402"/>
          </w:tabs>
          <w:ind w:left="3402" w:hanging="681"/>
        </w:pPr>
        <w:rPr>
          <w:rFonts w:hint="default"/>
          <w:b w:val="0"/>
          <w:bCs w:val="0"/>
          <w:i w:val="0"/>
          <w:iCs w:val="0"/>
          <w:sz w:val="20"/>
        </w:rPr>
      </w:lvl>
    </w:lvlOverride>
    <w:lvlOverride w:ilvl="5">
      <w:lvl w:ilvl="5">
        <w:start w:val="1"/>
        <w:numFmt w:val="upperRoman"/>
        <w:pStyle w:val="Level6"/>
        <w:lvlText w:val="(%6)"/>
        <w:lvlJc w:val="left"/>
        <w:pPr>
          <w:tabs>
            <w:tab w:val="num" w:pos="4082"/>
          </w:tabs>
          <w:ind w:left="4082" w:hanging="680"/>
        </w:pPr>
        <w:rPr>
          <w:rFonts w:hint="default"/>
          <w:sz w:val="20"/>
        </w:rPr>
      </w:lvl>
    </w:lvlOverride>
    <w:lvlOverride w:ilvl="6">
      <w:lvl w:ilvl="6">
        <w:start w:val="1"/>
        <w:numFmt w:val="none"/>
        <w:pStyle w:val="Level7"/>
        <w:lvlText w:val=""/>
        <w:lvlJc w:val="left"/>
        <w:pPr>
          <w:tabs>
            <w:tab w:val="num" w:pos="4082"/>
          </w:tabs>
          <w:ind w:left="4082" w:hanging="680"/>
        </w:pPr>
        <w:rPr>
          <w:rFonts w:hint="default"/>
        </w:rPr>
      </w:lvl>
    </w:lvlOverride>
    <w:lvlOverride w:ilvl="7">
      <w:lvl w:ilvl="7">
        <w:start w:val="1"/>
        <w:numFmt w:val="none"/>
        <w:pStyle w:val="Level8"/>
        <w:lvlText w:val=""/>
        <w:lvlJc w:val="left"/>
        <w:pPr>
          <w:tabs>
            <w:tab w:val="num" w:pos="4082"/>
          </w:tabs>
          <w:ind w:left="4082" w:hanging="680"/>
        </w:pPr>
        <w:rPr>
          <w:rFonts w:hint="default"/>
        </w:rPr>
      </w:lvl>
    </w:lvlOverride>
    <w:lvlOverride w:ilvl="8">
      <w:lvl w:ilvl="8">
        <w:start w:val="1"/>
        <w:numFmt w:val="none"/>
        <w:pStyle w:val="Level9"/>
        <w:lvlText w:val=""/>
        <w:lvlJc w:val="left"/>
        <w:pPr>
          <w:tabs>
            <w:tab w:val="num" w:pos="4082"/>
          </w:tabs>
          <w:ind w:left="4082" w:hanging="680"/>
        </w:pPr>
        <w:rPr>
          <w:rFonts w:hint="default"/>
        </w:rPr>
      </w:lvl>
    </w:lvlOverride>
  </w:num>
  <w:num w:numId="143" w16cid:durableId="1663391296">
    <w:abstractNumId w:val="15"/>
    <w:lvlOverride w:ilvl="0">
      <w:lvl w:ilvl="0">
        <w:start w:val="1"/>
        <w:numFmt w:val="decimal"/>
        <w:pStyle w:val="Level1"/>
        <w:lvlText w:val="%1"/>
        <w:lvlJc w:val="left"/>
        <w:pPr>
          <w:tabs>
            <w:tab w:val="num" w:pos="1360"/>
          </w:tabs>
          <w:ind w:left="1360" w:hanging="680"/>
        </w:pPr>
        <w:rPr>
          <w:rFonts w:hAnsi="Arial" w:cs="Times New Roman" w:hint="default"/>
          <w:b/>
          <w:i w:val="0"/>
          <w:sz w:val="22"/>
        </w:rPr>
      </w:lvl>
    </w:lvlOverride>
    <w:lvlOverride w:ilvl="1">
      <w:lvl w:ilvl="1">
        <w:start w:val="1"/>
        <w:numFmt w:val="decimal"/>
        <w:pStyle w:val="Level2"/>
        <w:lvlText w:val="%1.%2"/>
        <w:lvlJc w:val="left"/>
        <w:pPr>
          <w:tabs>
            <w:tab w:val="num" w:pos="1360"/>
          </w:tabs>
          <w:ind w:left="1360" w:hanging="680"/>
        </w:pPr>
        <w:rPr>
          <w:rFonts w:hint="default"/>
          <w:b/>
          <w:i w:val="0"/>
          <w:sz w:val="21"/>
        </w:rPr>
      </w:lvl>
    </w:lvlOverride>
    <w:lvlOverride w:ilvl="2">
      <w:lvl w:ilvl="2">
        <w:start w:val="1"/>
        <w:numFmt w:val="decimal"/>
        <w:pStyle w:val="Level3"/>
        <w:lvlText w:val="%1.%2.%3"/>
        <w:lvlJc w:val="left"/>
        <w:pPr>
          <w:tabs>
            <w:tab w:val="num" w:pos="2041"/>
          </w:tabs>
          <w:ind w:left="2041" w:hanging="681"/>
        </w:pPr>
        <w:rPr>
          <w:rFonts w:hint="default"/>
          <w:b/>
          <w:i w:val="0"/>
          <w:sz w:val="17"/>
        </w:rPr>
      </w:lvl>
    </w:lvlOverride>
    <w:lvlOverride w:ilvl="3">
      <w:lvl w:ilvl="3">
        <w:start w:val="1"/>
        <w:numFmt w:val="lowerRoman"/>
        <w:pStyle w:val="Level4"/>
        <w:lvlText w:val="(%4)"/>
        <w:lvlJc w:val="left"/>
        <w:pPr>
          <w:tabs>
            <w:tab w:val="num" w:pos="2721"/>
          </w:tabs>
          <w:ind w:left="2721" w:hanging="680"/>
        </w:pPr>
        <w:rPr>
          <w:rFonts w:hint="default"/>
          <w:b w:val="0"/>
          <w:bCs w:val="0"/>
          <w:i w:val="0"/>
          <w:iCs w:val="0"/>
          <w:sz w:val="20"/>
        </w:rPr>
      </w:lvl>
    </w:lvlOverride>
    <w:lvlOverride w:ilvl="4">
      <w:lvl w:ilvl="4">
        <w:start w:val="1"/>
        <w:numFmt w:val="lowerLetter"/>
        <w:pStyle w:val="Level5"/>
        <w:lvlText w:val="(%5)"/>
        <w:lvlJc w:val="left"/>
        <w:pPr>
          <w:tabs>
            <w:tab w:val="num" w:pos="3402"/>
          </w:tabs>
          <w:ind w:left="3402" w:hanging="681"/>
        </w:pPr>
        <w:rPr>
          <w:rFonts w:hint="default"/>
          <w:b w:val="0"/>
          <w:bCs w:val="0"/>
          <w:i w:val="0"/>
          <w:iCs w:val="0"/>
          <w:sz w:val="20"/>
        </w:rPr>
      </w:lvl>
    </w:lvlOverride>
    <w:lvlOverride w:ilvl="5">
      <w:lvl w:ilvl="5">
        <w:start w:val="1"/>
        <w:numFmt w:val="upperRoman"/>
        <w:pStyle w:val="Level6"/>
        <w:lvlText w:val="(%6)"/>
        <w:lvlJc w:val="left"/>
        <w:pPr>
          <w:tabs>
            <w:tab w:val="num" w:pos="4082"/>
          </w:tabs>
          <w:ind w:left="4082" w:hanging="680"/>
        </w:pPr>
        <w:rPr>
          <w:rFonts w:hint="default"/>
          <w:sz w:val="20"/>
        </w:rPr>
      </w:lvl>
    </w:lvlOverride>
    <w:lvlOverride w:ilvl="6">
      <w:lvl w:ilvl="6">
        <w:start w:val="1"/>
        <w:numFmt w:val="none"/>
        <w:pStyle w:val="Level7"/>
        <w:lvlText w:val=""/>
        <w:lvlJc w:val="left"/>
        <w:pPr>
          <w:tabs>
            <w:tab w:val="num" w:pos="4082"/>
          </w:tabs>
          <w:ind w:left="4082" w:hanging="680"/>
        </w:pPr>
        <w:rPr>
          <w:rFonts w:hint="default"/>
        </w:rPr>
      </w:lvl>
    </w:lvlOverride>
    <w:lvlOverride w:ilvl="7">
      <w:lvl w:ilvl="7">
        <w:start w:val="1"/>
        <w:numFmt w:val="none"/>
        <w:pStyle w:val="Level8"/>
        <w:lvlText w:val=""/>
        <w:lvlJc w:val="left"/>
        <w:pPr>
          <w:tabs>
            <w:tab w:val="num" w:pos="4082"/>
          </w:tabs>
          <w:ind w:left="4082" w:hanging="680"/>
        </w:pPr>
        <w:rPr>
          <w:rFonts w:hint="default"/>
        </w:rPr>
      </w:lvl>
    </w:lvlOverride>
    <w:lvlOverride w:ilvl="8">
      <w:lvl w:ilvl="8">
        <w:start w:val="1"/>
        <w:numFmt w:val="none"/>
        <w:pStyle w:val="Level9"/>
        <w:lvlText w:val=""/>
        <w:lvlJc w:val="left"/>
        <w:pPr>
          <w:tabs>
            <w:tab w:val="num" w:pos="4082"/>
          </w:tabs>
          <w:ind w:left="4082" w:hanging="680"/>
        </w:pPr>
        <w:rPr>
          <w:rFonts w:hint="default"/>
        </w:rPr>
      </w:lvl>
    </w:lvlOverride>
  </w:num>
  <w:num w:numId="144" w16cid:durableId="1229152160">
    <w:abstractNumId w:val="15"/>
    <w:lvlOverride w:ilvl="0">
      <w:lvl w:ilvl="0">
        <w:start w:val="1"/>
        <w:numFmt w:val="decimal"/>
        <w:pStyle w:val="Level1"/>
        <w:lvlText w:val="%1"/>
        <w:lvlJc w:val="left"/>
        <w:pPr>
          <w:tabs>
            <w:tab w:val="num" w:pos="1360"/>
          </w:tabs>
          <w:ind w:left="1360" w:hanging="680"/>
        </w:pPr>
        <w:rPr>
          <w:rFonts w:hAnsi="Arial" w:cs="Times New Roman" w:hint="default"/>
          <w:b/>
          <w:i w:val="0"/>
          <w:sz w:val="22"/>
        </w:rPr>
      </w:lvl>
    </w:lvlOverride>
    <w:lvlOverride w:ilvl="1">
      <w:lvl w:ilvl="1">
        <w:start w:val="1"/>
        <w:numFmt w:val="decimal"/>
        <w:pStyle w:val="Level2"/>
        <w:lvlText w:val="%1.%2"/>
        <w:lvlJc w:val="left"/>
        <w:pPr>
          <w:tabs>
            <w:tab w:val="num" w:pos="1360"/>
          </w:tabs>
          <w:ind w:left="1360" w:hanging="680"/>
        </w:pPr>
        <w:rPr>
          <w:rFonts w:hint="default"/>
          <w:b/>
          <w:i w:val="0"/>
          <w:sz w:val="21"/>
        </w:rPr>
      </w:lvl>
    </w:lvlOverride>
    <w:lvlOverride w:ilvl="2">
      <w:lvl w:ilvl="2">
        <w:start w:val="1"/>
        <w:numFmt w:val="decimal"/>
        <w:pStyle w:val="Level3"/>
        <w:lvlText w:val="%1.%2.%3"/>
        <w:lvlJc w:val="left"/>
        <w:pPr>
          <w:tabs>
            <w:tab w:val="num" w:pos="2041"/>
          </w:tabs>
          <w:ind w:left="2041" w:hanging="681"/>
        </w:pPr>
        <w:rPr>
          <w:rFonts w:hint="default"/>
          <w:b/>
          <w:i w:val="0"/>
          <w:sz w:val="17"/>
        </w:rPr>
      </w:lvl>
    </w:lvlOverride>
    <w:lvlOverride w:ilvl="3">
      <w:lvl w:ilvl="3">
        <w:start w:val="1"/>
        <w:numFmt w:val="lowerRoman"/>
        <w:pStyle w:val="Level4"/>
        <w:lvlText w:val="(%4)"/>
        <w:lvlJc w:val="left"/>
        <w:pPr>
          <w:tabs>
            <w:tab w:val="num" w:pos="2721"/>
          </w:tabs>
          <w:ind w:left="2721" w:hanging="680"/>
        </w:pPr>
        <w:rPr>
          <w:rFonts w:hint="default"/>
          <w:b w:val="0"/>
          <w:bCs w:val="0"/>
          <w:i w:val="0"/>
          <w:iCs w:val="0"/>
          <w:sz w:val="20"/>
        </w:rPr>
      </w:lvl>
    </w:lvlOverride>
    <w:lvlOverride w:ilvl="4">
      <w:lvl w:ilvl="4">
        <w:start w:val="1"/>
        <w:numFmt w:val="lowerLetter"/>
        <w:pStyle w:val="Level5"/>
        <w:lvlText w:val="(%5)"/>
        <w:lvlJc w:val="left"/>
        <w:pPr>
          <w:tabs>
            <w:tab w:val="num" w:pos="3402"/>
          </w:tabs>
          <w:ind w:left="3402" w:hanging="681"/>
        </w:pPr>
        <w:rPr>
          <w:rFonts w:hint="default"/>
          <w:b w:val="0"/>
          <w:bCs w:val="0"/>
          <w:i w:val="0"/>
          <w:iCs w:val="0"/>
          <w:sz w:val="20"/>
        </w:rPr>
      </w:lvl>
    </w:lvlOverride>
    <w:lvlOverride w:ilvl="5">
      <w:lvl w:ilvl="5">
        <w:start w:val="1"/>
        <w:numFmt w:val="upperRoman"/>
        <w:pStyle w:val="Level6"/>
        <w:lvlText w:val="(%6)"/>
        <w:lvlJc w:val="left"/>
        <w:pPr>
          <w:tabs>
            <w:tab w:val="num" w:pos="4082"/>
          </w:tabs>
          <w:ind w:left="4082" w:hanging="680"/>
        </w:pPr>
        <w:rPr>
          <w:rFonts w:hint="default"/>
          <w:sz w:val="20"/>
        </w:rPr>
      </w:lvl>
    </w:lvlOverride>
    <w:lvlOverride w:ilvl="6">
      <w:lvl w:ilvl="6">
        <w:start w:val="1"/>
        <w:numFmt w:val="none"/>
        <w:pStyle w:val="Level7"/>
        <w:lvlText w:val=""/>
        <w:lvlJc w:val="left"/>
        <w:pPr>
          <w:tabs>
            <w:tab w:val="num" w:pos="4082"/>
          </w:tabs>
          <w:ind w:left="4082" w:hanging="680"/>
        </w:pPr>
        <w:rPr>
          <w:rFonts w:hint="default"/>
        </w:rPr>
      </w:lvl>
    </w:lvlOverride>
    <w:lvlOverride w:ilvl="7">
      <w:lvl w:ilvl="7">
        <w:start w:val="1"/>
        <w:numFmt w:val="none"/>
        <w:pStyle w:val="Level8"/>
        <w:lvlText w:val=""/>
        <w:lvlJc w:val="left"/>
        <w:pPr>
          <w:tabs>
            <w:tab w:val="num" w:pos="4082"/>
          </w:tabs>
          <w:ind w:left="4082" w:hanging="680"/>
        </w:pPr>
        <w:rPr>
          <w:rFonts w:hint="default"/>
        </w:rPr>
      </w:lvl>
    </w:lvlOverride>
    <w:lvlOverride w:ilvl="8">
      <w:lvl w:ilvl="8">
        <w:start w:val="1"/>
        <w:numFmt w:val="none"/>
        <w:pStyle w:val="Level9"/>
        <w:lvlText w:val=""/>
        <w:lvlJc w:val="left"/>
        <w:pPr>
          <w:tabs>
            <w:tab w:val="num" w:pos="4082"/>
          </w:tabs>
          <w:ind w:left="4082" w:hanging="680"/>
        </w:pPr>
        <w:rPr>
          <w:rFonts w:hint="default"/>
        </w:rPr>
      </w:lvl>
    </w:lvlOverride>
  </w:num>
  <w:num w:numId="145" w16cid:durableId="1063717696">
    <w:abstractNumId w:val="15"/>
    <w:lvlOverride w:ilvl="0">
      <w:lvl w:ilvl="0">
        <w:start w:val="1"/>
        <w:numFmt w:val="decimal"/>
        <w:pStyle w:val="Level1"/>
        <w:lvlText w:val="%1"/>
        <w:lvlJc w:val="left"/>
        <w:pPr>
          <w:tabs>
            <w:tab w:val="num" w:pos="1360"/>
          </w:tabs>
          <w:ind w:left="1360" w:hanging="680"/>
        </w:pPr>
        <w:rPr>
          <w:rFonts w:hAnsi="Arial" w:cs="Times New Roman" w:hint="default"/>
          <w:b/>
          <w:i w:val="0"/>
          <w:sz w:val="22"/>
        </w:rPr>
      </w:lvl>
    </w:lvlOverride>
    <w:lvlOverride w:ilvl="1">
      <w:lvl w:ilvl="1">
        <w:start w:val="1"/>
        <w:numFmt w:val="decimal"/>
        <w:pStyle w:val="Level2"/>
        <w:lvlText w:val="%1.%2"/>
        <w:lvlJc w:val="left"/>
        <w:pPr>
          <w:tabs>
            <w:tab w:val="num" w:pos="1360"/>
          </w:tabs>
          <w:ind w:left="1360" w:hanging="680"/>
        </w:pPr>
        <w:rPr>
          <w:rFonts w:hint="default"/>
          <w:b/>
          <w:i w:val="0"/>
          <w:sz w:val="21"/>
        </w:rPr>
      </w:lvl>
    </w:lvlOverride>
    <w:lvlOverride w:ilvl="2">
      <w:lvl w:ilvl="2">
        <w:start w:val="1"/>
        <w:numFmt w:val="decimal"/>
        <w:pStyle w:val="Level3"/>
        <w:lvlText w:val="%1.%2.%3"/>
        <w:lvlJc w:val="left"/>
        <w:pPr>
          <w:tabs>
            <w:tab w:val="num" w:pos="2041"/>
          </w:tabs>
          <w:ind w:left="2041" w:hanging="681"/>
        </w:pPr>
        <w:rPr>
          <w:rFonts w:hint="default"/>
          <w:b/>
          <w:i w:val="0"/>
          <w:sz w:val="17"/>
        </w:rPr>
      </w:lvl>
    </w:lvlOverride>
    <w:lvlOverride w:ilvl="3">
      <w:lvl w:ilvl="3">
        <w:start w:val="1"/>
        <w:numFmt w:val="lowerRoman"/>
        <w:pStyle w:val="Level4"/>
        <w:lvlText w:val="(%4)"/>
        <w:lvlJc w:val="left"/>
        <w:pPr>
          <w:tabs>
            <w:tab w:val="num" w:pos="2721"/>
          </w:tabs>
          <w:ind w:left="2721" w:hanging="680"/>
        </w:pPr>
        <w:rPr>
          <w:rFonts w:hint="default"/>
          <w:b w:val="0"/>
          <w:bCs w:val="0"/>
          <w:i w:val="0"/>
          <w:iCs w:val="0"/>
          <w:sz w:val="20"/>
        </w:rPr>
      </w:lvl>
    </w:lvlOverride>
    <w:lvlOverride w:ilvl="4">
      <w:lvl w:ilvl="4">
        <w:start w:val="1"/>
        <w:numFmt w:val="lowerLetter"/>
        <w:pStyle w:val="Level5"/>
        <w:lvlText w:val="(%5)"/>
        <w:lvlJc w:val="left"/>
        <w:pPr>
          <w:tabs>
            <w:tab w:val="num" w:pos="3402"/>
          </w:tabs>
          <w:ind w:left="3402" w:hanging="681"/>
        </w:pPr>
        <w:rPr>
          <w:rFonts w:hint="default"/>
          <w:b w:val="0"/>
          <w:bCs w:val="0"/>
          <w:i w:val="0"/>
          <w:iCs w:val="0"/>
          <w:sz w:val="20"/>
        </w:rPr>
      </w:lvl>
    </w:lvlOverride>
    <w:lvlOverride w:ilvl="5">
      <w:lvl w:ilvl="5">
        <w:start w:val="1"/>
        <w:numFmt w:val="upperRoman"/>
        <w:pStyle w:val="Level6"/>
        <w:lvlText w:val="(%6)"/>
        <w:lvlJc w:val="left"/>
        <w:pPr>
          <w:tabs>
            <w:tab w:val="num" w:pos="4082"/>
          </w:tabs>
          <w:ind w:left="4082" w:hanging="680"/>
        </w:pPr>
        <w:rPr>
          <w:rFonts w:hint="default"/>
          <w:sz w:val="20"/>
        </w:rPr>
      </w:lvl>
    </w:lvlOverride>
    <w:lvlOverride w:ilvl="6">
      <w:lvl w:ilvl="6">
        <w:start w:val="1"/>
        <w:numFmt w:val="none"/>
        <w:pStyle w:val="Level7"/>
        <w:lvlText w:val=""/>
        <w:lvlJc w:val="left"/>
        <w:pPr>
          <w:tabs>
            <w:tab w:val="num" w:pos="4082"/>
          </w:tabs>
          <w:ind w:left="4082" w:hanging="680"/>
        </w:pPr>
        <w:rPr>
          <w:rFonts w:hint="default"/>
        </w:rPr>
      </w:lvl>
    </w:lvlOverride>
    <w:lvlOverride w:ilvl="7">
      <w:lvl w:ilvl="7">
        <w:start w:val="1"/>
        <w:numFmt w:val="none"/>
        <w:pStyle w:val="Level8"/>
        <w:lvlText w:val=""/>
        <w:lvlJc w:val="left"/>
        <w:pPr>
          <w:tabs>
            <w:tab w:val="num" w:pos="4082"/>
          </w:tabs>
          <w:ind w:left="4082" w:hanging="680"/>
        </w:pPr>
        <w:rPr>
          <w:rFonts w:hint="default"/>
        </w:rPr>
      </w:lvl>
    </w:lvlOverride>
    <w:lvlOverride w:ilvl="8">
      <w:lvl w:ilvl="8">
        <w:start w:val="1"/>
        <w:numFmt w:val="none"/>
        <w:pStyle w:val="Level9"/>
        <w:lvlText w:val=""/>
        <w:lvlJc w:val="left"/>
        <w:pPr>
          <w:tabs>
            <w:tab w:val="num" w:pos="4082"/>
          </w:tabs>
          <w:ind w:left="4082" w:hanging="680"/>
        </w:pPr>
        <w:rPr>
          <w:rFonts w:hint="default"/>
        </w:rPr>
      </w:lvl>
    </w:lvlOverride>
  </w:num>
  <w:num w:numId="146" w16cid:durableId="1806192355">
    <w:abstractNumId w:val="15"/>
    <w:lvlOverride w:ilvl="0">
      <w:lvl w:ilvl="0">
        <w:start w:val="1"/>
        <w:numFmt w:val="decimal"/>
        <w:pStyle w:val="Level1"/>
        <w:lvlText w:val="%1"/>
        <w:lvlJc w:val="left"/>
        <w:pPr>
          <w:tabs>
            <w:tab w:val="num" w:pos="1360"/>
          </w:tabs>
          <w:ind w:left="1360" w:hanging="680"/>
        </w:pPr>
        <w:rPr>
          <w:rFonts w:hAnsi="Arial" w:cs="Times New Roman" w:hint="default"/>
          <w:b/>
          <w:i w:val="0"/>
          <w:sz w:val="22"/>
        </w:rPr>
      </w:lvl>
    </w:lvlOverride>
    <w:lvlOverride w:ilvl="1">
      <w:lvl w:ilvl="1">
        <w:start w:val="1"/>
        <w:numFmt w:val="decimal"/>
        <w:pStyle w:val="Level2"/>
        <w:lvlText w:val="%1.%2"/>
        <w:lvlJc w:val="left"/>
        <w:pPr>
          <w:tabs>
            <w:tab w:val="num" w:pos="1360"/>
          </w:tabs>
          <w:ind w:left="1360" w:hanging="680"/>
        </w:pPr>
        <w:rPr>
          <w:rFonts w:hint="default"/>
          <w:b/>
          <w:i w:val="0"/>
          <w:sz w:val="21"/>
        </w:rPr>
      </w:lvl>
    </w:lvlOverride>
    <w:lvlOverride w:ilvl="2">
      <w:lvl w:ilvl="2">
        <w:start w:val="1"/>
        <w:numFmt w:val="decimal"/>
        <w:pStyle w:val="Level3"/>
        <w:lvlText w:val="%1.%2.%3"/>
        <w:lvlJc w:val="left"/>
        <w:pPr>
          <w:tabs>
            <w:tab w:val="num" w:pos="2041"/>
          </w:tabs>
          <w:ind w:left="2041" w:hanging="681"/>
        </w:pPr>
        <w:rPr>
          <w:rFonts w:hint="default"/>
          <w:b/>
          <w:i w:val="0"/>
          <w:sz w:val="17"/>
        </w:rPr>
      </w:lvl>
    </w:lvlOverride>
    <w:lvlOverride w:ilvl="3">
      <w:lvl w:ilvl="3">
        <w:start w:val="1"/>
        <w:numFmt w:val="lowerRoman"/>
        <w:pStyle w:val="Level4"/>
        <w:lvlText w:val="(%4)"/>
        <w:lvlJc w:val="left"/>
        <w:pPr>
          <w:tabs>
            <w:tab w:val="num" w:pos="2721"/>
          </w:tabs>
          <w:ind w:left="2721" w:hanging="680"/>
        </w:pPr>
        <w:rPr>
          <w:rFonts w:hint="default"/>
          <w:b w:val="0"/>
          <w:bCs w:val="0"/>
          <w:i w:val="0"/>
          <w:iCs w:val="0"/>
          <w:sz w:val="20"/>
        </w:rPr>
      </w:lvl>
    </w:lvlOverride>
    <w:lvlOverride w:ilvl="4">
      <w:lvl w:ilvl="4">
        <w:start w:val="1"/>
        <w:numFmt w:val="lowerLetter"/>
        <w:pStyle w:val="Level5"/>
        <w:lvlText w:val="(%5)"/>
        <w:lvlJc w:val="left"/>
        <w:pPr>
          <w:tabs>
            <w:tab w:val="num" w:pos="3402"/>
          </w:tabs>
          <w:ind w:left="3402" w:hanging="681"/>
        </w:pPr>
        <w:rPr>
          <w:rFonts w:hint="default"/>
          <w:b w:val="0"/>
          <w:bCs w:val="0"/>
          <w:i w:val="0"/>
          <w:iCs w:val="0"/>
          <w:sz w:val="20"/>
        </w:rPr>
      </w:lvl>
    </w:lvlOverride>
    <w:lvlOverride w:ilvl="5">
      <w:lvl w:ilvl="5">
        <w:start w:val="1"/>
        <w:numFmt w:val="upperRoman"/>
        <w:pStyle w:val="Level6"/>
        <w:lvlText w:val="(%6)"/>
        <w:lvlJc w:val="left"/>
        <w:pPr>
          <w:tabs>
            <w:tab w:val="num" w:pos="4082"/>
          </w:tabs>
          <w:ind w:left="4082" w:hanging="680"/>
        </w:pPr>
        <w:rPr>
          <w:rFonts w:hint="default"/>
          <w:sz w:val="20"/>
        </w:rPr>
      </w:lvl>
    </w:lvlOverride>
    <w:lvlOverride w:ilvl="6">
      <w:lvl w:ilvl="6">
        <w:start w:val="1"/>
        <w:numFmt w:val="none"/>
        <w:pStyle w:val="Level7"/>
        <w:lvlText w:val=""/>
        <w:lvlJc w:val="left"/>
        <w:pPr>
          <w:tabs>
            <w:tab w:val="num" w:pos="4082"/>
          </w:tabs>
          <w:ind w:left="4082" w:hanging="680"/>
        </w:pPr>
        <w:rPr>
          <w:rFonts w:hint="default"/>
        </w:rPr>
      </w:lvl>
    </w:lvlOverride>
    <w:lvlOverride w:ilvl="7">
      <w:lvl w:ilvl="7">
        <w:start w:val="1"/>
        <w:numFmt w:val="none"/>
        <w:pStyle w:val="Level8"/>
        <w:lvlText w:val=""/>
        <w:lvlJc w:val="left"/>
        <w:pPr>
          <w:tabs>
            <w:tab w:val="num" w:pos="4082"/>
          </w:tabs>
          <w:ind w:left="4082" w:hanging="680"/>
        </w:pPr>
        <w:rPr>
          <w:rFonts w:hint="default"/>
        </w:rPr>
      </w:lvl>
    </w:lvlOverride>
    <w:lvlOverride w:ilvl="8">
      <w:lvl w:ilvl="8">
        <w:start w:val="1"/>
        <w:numFmt w:val="none"/>
        <w:pStyle w:val="Level9"/>
        <w:lvlText w:val=""/>
        <w:lvlJc w:val="left"/>
        <w:pPr>
          <w:tabs>
            <w:tab w:val="num" w:pos="4082"/>
          </w:tabs>
          <w:ind w:left="4082" w:hanging="680"/>
        </w:pPr>
        <w:rPr>
          <w:rFonts w:hint="default"/>
        </w:rPr>
      </w:lvl>
    </w:lvlOverride>
  </w:num>
  <w:num w:numId="147" w16cid:durableId="1085419461">
    <w:abstractNumId w:val="15"/>
    <w:lvlOverride w:ilvl="0">
      <w:lvl w:ilvl="0">
        <w:start w:val="1"/>
        <w:numFmt w:val="decimal"/>
        <w:pStyle w:val="Level1"/>
        <w:lvlText w:val="%1"/>
        <w:lvlJc w:val="left"/>
        <w:pPr>
          <w:tabs>
            <w:tab w:val="num" w:pos="1360"/>
          </w:tabs>
          <w:ind w:left="1360" w:hanging="680"/>
        </w:pPr>
        <w:rPr>
          <w:rFonts w:hAnsi="Arial" w:cs="Times New Roman" w:hint="default"/>
          <w:b/>
          <w:i w:val="0"/>
          <w:sz w:val="22"/>
        </w:rPr>
      </w:lvl>
    </w:lvlOverride>
    <w:lvlOverride w:ilvl="1">
      <w:lvl w:ilvl="1">
        <w:start w:val="1"/>
        <w:numFmt w:val="decimal"/>
        <w:pStyle w:val="Level2"/>
        <w:lvlText w:val="%1.%2"/>
        <w:lvlJc w:val="left"/>
        <w:pPr>
          <w:tabs>
            <w:tab w:val="num" w:pos="1360"/>
          </w:tabs>
          <w:ind w:left="1360" w:hanging="680"/>
        </w:pPr>
        <w:rPr>
          <w:rFonts w:hint="default"/>
          <w:b/>
          <w:i w:val="0"/>
          <w:sz w:val="21"/>
        </w:rPr>
      </w:lvl>
    </w:lvlOverride>
    <w:lvlOverride w:ilvl="2">
      <w:lvl w:ilvl="2">
        <w:start w:val="1"/>
        <w:numFmt w:val="decimal"/>
        <w:pStyle w:val="Level3"/>
        <w:lvlText w:val="%1.%2.%3"/>
        <w:lvlJc w:val="left"/>
        <w:pPr>
          <w:tabs>
            <w:tab w:val="num" w:pos="2041"/>
          </w:tabs>
          <w:ind w:left="2041" w:hanging="681"/>
        </w:pPr>
        <w:rPr>
          <w:rFonts w:hint="default"/>
          <w:b/>
          <w:i w:val="0"/>
          <w:sz w:val="17"/>
        </w:rPr>
      </w:lvl>
    </w:lvlOverride>
    <w:lvlOverride w:ilvl="3">
      <w:lvl w:ilvl="3">
        <w:start w:val="1"/>
        <w:numFmt w:val="lowerRoman"/>
        <w:pStyle w:val="Level4"/>
        <w:lvlText w:val="(%4)"/>
        <w:lvlJc w:val="left"/>
        <w:pPr>
          <w:tabs>
            <w:tab w:val="num" w:pos="2721"/>
          </w:tabs>
          <w:ind w:left="2721" w:hanging="680"/>
        </w:pPr>
        <w:rPr>
          <w:rFonts w:hint="default"/>
          <w:b w:val="0"/>
          <w:bCs w:val="0"/>
          <w:i w:val="0"/>
          <w:iCs w:val="0"/>
          <w:sz w:val="20"/>
        </w:rPr>
      </w:lvl>
    </w:lvlOverride>
    <w:lvlOverride w:ilvl="4">
      <w:lvl w:ilvl="4">
        <w:start w:val="1"/>
        <w:numFmt w:val="lowerLetter"/>
        <w:pStyle w:val="Level5"/>
        <w:lvlText w:val="(%5)"/>
        <w:lvlJc w:val="left"/>
        <w:pPr>
          <w:tabs>
            <w:tab w:val="num" w:pos="3402"/>
          </w:tabs>
          <w:ind w:left="3402" w:hanging="681"/>
        </w:pPr>
        <w:rPr>
          <w:rFonts w:hint="default"/>
          <w:b w:val="0"/>
          <w:bCs w:val="0"/>
          <w:i w:val="0"/>
          <w:iCs w:val="0"/>
          <w:sz w:val="20"/>
        </w:rPr>
      </w:lvl>
    </w:lvlOverride>
    <w:lvlOverride w:ilvl="5">
      <w:lvl w:ilvl="5">
        <w:start w:val="1"/>
        <w:numFmt w:val="upperRoman"/>
        <w:pStyle w:val="Level6"/>
        <w:lvlText w:val="(%6)"/>
        <w:lvlJc w:val="left"/>
        <w:pPr>
          <w:tabs>
            <w:tab w:val="num" w:pos="4082"/>
          </w:tabs>
          <w:ind w:left="4082" w:hanging="680"/>
        </w:pPr>
        <w:rPr>
          <w:rFonts w:hint="default"/>
          <w:sz w:val="20"/>
        </w:rPr>
      </w:lvl>
    </w:lvlOverride>
    <w:lvlOverride w:ilvl="6">
      <w:lvl w:ilvl="6">
        <w:start w:val="1"/>
        <w:numFmt w:val="none"/>
        <w:pStyle w:val="Level7"/>
        <w:lvlText w:val=""/>
        <w:lvlJc w:val="left"/>
        <w:pPr>
          <w:tabs>
            <w:tab w:val="num" w:pos="4082"/>
          </w:tabs>
          <w:ind w:left="4082" w:hanging="680"/>
        </w:pPr>
        <w:rPr>
          <w:rFonts w:hint="default"/>
        </w:rPr>
      </w:lvl>
    </w:lvlOverride>
    <w:lvlOverride w:ilvl="7">
      <w:lvl w:ilvl="7">
        <w:start w:val="1"/>
        <w:numFmt w:val="none"/>
        <w:pStyle w:val="Level8"/>
        <w:lvlText w:val=""/>
        <w:lvlJc w:val="left"/>
        <w:pPr>
          <w:tabs>
            <w:tab w:val="num" w:pos="4082"/>
          </w:tabs>
          <w:ind w:left="4082" w:hanging="680"/>
        </w:pPr>
        <w:rPr>
          <w:rFonts w:hint="default"/>
        </w:rPr>
      </w:lvl>
    </w:lvlOverride>
    <w:lvlOverride w:ilvl="8">
      <w:lvl w:ilvl="8">
        <w:start w:val="1"/>
        <w:numFmt w:val="none"/>
        <w:pStyle w:val="Level9"/>
        <w:lvlText w:val=""/>
        <w:lvlJc w:val="left"/>
        <w:pPr>
          <w:tabs>
            <w:tab w:val="num" w:pos="4082"/>
          </w:tabs>
          <w:ind w:left="4082" w:hanging="680"/>
        </w:pPr>
        <w:rPr>
          <w:rFonts w:hint="default"/>
        </w:rPr>
      </w:lvl>
    </w:lvlOverride>
  </w:num>
  <w:num w:numId="148" w16cid:durableId="398595804">
    <w:abstractNumId w:val="15"/>
    <w:lvlOverride w:ilvl="0">
      <w:lvl w:ilvl="0">
        <w:start w:val="1"/>
        <w:numFmt w:val="decimal"/>
        <w:pStyle w:val="Level1"/>
        <w:lvlText w:val="%1"/>
        <w:lvlJc w:val="left"/>
        <w:pPr>
          <w:tabs>
            <w:tab w:val="num" w:pos="1360"/>
          </w:tabs>
          <w:ind w:left="1360" w:hanging="680"/>
        </w:pPr>
        <w:rPr>
          <w:rFonts w:hAnsi="Arial" w:cs="Times New Roman" w:hint="default"/>
          <w:b/>
          <w:i w:val="0"/>
          <w:sz w:val="22"/>
        </w:rPr>
      </w:lvl>
    </w:lvlOverride>
    <w:lvlOverride w:ilvl="1">
      <w:lvl w:ilvl="1">
        <w:start w:val="1"/>
        <w:numFmt w:val="decimal"/>
        <w:pStyle w:val="Level2"/>
        <w:lvlText w:val="%1.%2"/>
        <w:lvlJc w:val="left"/>
        <w:pPr>
          <w:tabs>
            <w:tab w:val="num" w:pos="1360"/>
          </w:tabs>
          <w:ind w:left="1360" w:hanging="680"/>
        </w:pPr>
        <w:rPr>
          <w:rFonts w:hint="default"/>
          <w:b/>
          <w:i w:val="0"/>
          <w:sz w:val="21"/>
        </w:rPr>
      </w:lvl>
    </w:lvlOverride>
    <w:lvlOverride w:ilvl="2">
      <w:lvl w:ilvl="2">
        <w:start w:val="1"/>
        <w:numFmt w:val="decimal"/>
        <w:pStyle w:val="Level3"/>
        <w:lvlText w:val="%1.%2.%3"/>
        <w:lvlJc w:val="left"/>
        <w:pPr>
          <w:tabs>
            <w:tab w:val="num" w:pos="2041"/>
          </w:tabs>
          <w:ind w:left="2041" w:hanging="681"/>
        </w:pPr>
        <w:rPr>
          <w:rFonts w:hint="default"/>
          <w:b/>
          <w:i w:val="0"/>
          <w:sz w:val="17"/>
        </w:rPr>
      </w:lvl>
    </w:lvlOverride>
    <w:lvlOverride w:ilvl="3">
      <w:lvl w:ilvl="3">
        <w:start w:val="1"/>
        <w:numFmt w:val="lowerRoman"/>
        <w:pStyle w:val="Level4"/>
        <w:lvlText w:val="(%4)"/>
        <w:lvlJc w:val="left"/>
        <w:pPr>
          <w:tabs>
            <w:tab w:val="num" w:pos="2721"/>
          </w:tabs>
          <w:ind w:left="2721" w:hanging="680"/>
        </w:pPr>
        <w:rPr>
          <w:rFonts w:hint="default"/>
          <w:b w:val="0"/>
          <w:bCs w:val="0"/>
          <w:i w:val="0"/>
          <w:iCs w:val="0"/>
          <w:sz w:val="20"/>
        </w:rPr>
      </w:lvl>
    </w:lvlOverride>
    <w:lvlOverride w:ilvl="4">
      <w:lvl w:ilvl="4">
        <w:start w:val="1"/>
        <w:numFmt w:val="lowerLetter"/>
        <w:pStyle w:val="Level5"/>
        <w:lvlText w:val="(%5)"/>
        <w:lvlJc w:val="left"/>
        <w:pPr>
          <w:tabs>
            <w:tab w:val="num" w:pos="3402"/>
          </w:tabs>
          <w:ind w:left="3402" w:hanging="681"/>
        </w:pPr>
        <w:rPr>
          <w:rFonts w:hint="default"/>
          <w:b w:val="0"/>
          <w:bCs w:val="0"/>
          <w:i w:val="0"/>
          <w:iCs w:val="0"/>
          <w:sz w:val="20"/>
        </w:rPr>
      </w:lvl>
    </w:lvlOverride>
    <w:lvlOverride w:ilvl="5">
      <w:lvl w:ilvl="5">
        <w:start w:val="1"/>
        <w:numFmt w:val="upperRoman"/>
        <w:pStyle w:val="Level6"/>
        <w:lvlText w:val="(%6)"/>
        <w:lvlJc w:val="left"/>
        <w:pPr>
          <w:tabs>
            <w:tab w:val="num" w:pos="4082"/>
          </w:tabs>
          <w:ind w:left="4082" w:hanging="680"/>
        </w:pPr>
        <w:rPr>
          <w:rFonts w:hint="default"/>
          <w:sz w:val="20"/>
        </w:rPr>
      </w:lvl>
    </w:lvlOverride>
    <w:lvlOverride w:ilvl="6">
      <w:lvl w:ilvl="6">
        <w:start w:val="1"/>
        <w:numFmt w:val="none"/>
        <w:pStyle w:val="Level7"/>
        <w:lvlText w:val=""/>
        <w:lvlJc w:val="left"/>
        <w:pPr>
          <w:tabs>
            <w:tab w:val="num" w:pos="4082"/>
          </w:tabs>
          <w:ind w:left="4082" w:hanging="680"/>
        </w:pPr>
        <w:rPr>
          <w:rFonts w:hint="default"/>
        </w:rPr>
      </w:lvl>
    </w:lvlOverride>
    <w:lvlOverride w:ilvl="7">
      <w:lvl w:ilvl="7">
        <w:start w:val="1"/>
        <w:numFmt w:val="none"/>
        <w:pStyle w:val="Level8"/>
        <w:lvlText w:val=""/>
        <w:lvlJc w:val="left"/>
        <w:pPr>
          <w:tabs>
            <w:tab w:val="num" w:pos="4082"/>
          </w:tabs>
          <w:ind w:left="4082" w:hanging="680"/>
        </w:pPr>
        <w:rPr>
          <w:rFonts w:hint="default"/>
        </w:rPr>
      </w:lvl>
    </w:lvlOverride>
    <w:lvlOverride w:ilvl="8">
      <w:lvl w:ilvl="8">
        <w:start w:val="1"/>
        <w:numFmt w:val="none"/>
        <w:pStyle w:val="Level9"/>
        <w:lvlText w:val=""/>
        <w:lvlJc w:val="left"/>
        <w:pPr>
          <w:tabs>
            <w:tab w:val="num" w:pos="4082"/>
          </w:tabs>
          <w:ind w:left="4082" w:hanging="680"/>
        </w:pPr>
        <w:rPr>
          <w:rFonts w:hint="default"/>
        </w:rPr>
      </w:lvl>
    </w:lvlOverride>
  </w:num>
  <w:num w:numId="149" w16cid:durableId="1117673591">
    <w:abstractNumId w:val="15"/>
    <w:lvlOverride w:ilvl="0">
      <w:lvl w:ilvl="0">
        <w:start w:val="1"/>
        <w:numFmt w:val="decimal"/>
        <w:pStyle w:val="Level1"/>
        <w:lvlText w:val="%1"/>
        <w:lvlJc w:val="left"/>
        <w:pPr>
          <w:tabs>
            <w:tab w:val="num" w:pos="680"/>
          </w:tabs>
          <w:ind w:left="680" w:hanging="680"/>
        </w:pPr>
        <w:rPr>
          <w:rFonts w:hAnsi="Arial" w:cs="Times New Roman" w:hint="default"/>
          <w:b/>
          <w:i w:val="0"/>
          <w:sz w:val="22"/>
        </w:rPr>
      </w:lvl>
    </w:lvlOverride>
    <w:lvlOverride w:ilvl="1">
      <w:lvl w:ilvl="1">
        <w:start w:val="1"/>
        <w:numFmt w:val="decimal"/>
        <w:pStyle w:val="Level2"/>
        <w:lvlText w:val="%1.%2"/>
        <w:lvlJc w:val="left"/>
        <w:pPr>
          <w:tabs>
            <w:tab w:val="num" w:pos="680"/>
          </w:tabs>
          <w:ind w:left="680" w:hanging="680"/>
        </w:pPr>
        <w:rPr>
          <w:rFonts w:hint="default"/>
          <w:b/>
          <w:i w:val="0"/>
          <w:sz w:val="21"/>
        </w:rPr>
      </w:lvl>
    </w:lvlOverride>
    <w:lvlOverride w:ilvl="2">
      <w:lvl w:ilvl="2">
        <w:start w:val="1"/>
        <w:numFmt w:val="decimal"/>
        <w:pStyle w:val="Level3"/>
        <w:lvlText w:val="%1.%2.%3"/>
        <w:lvlJc w:val="left"/>
        <w:pPr>
          <w:tabs>
            <w:tab w:val="num" w:pos="1361"/>
          </w:tabs>
          <w:ind w:left="1361" w:hanging="681"/>
        </w:pPr>
        <w:rPr>
          <w:rFonts w:hint="default"/>
          <w:b/>
          <w:i w:val="0"/>
          <w:sz w:val="17"/>
        </w:rPr>
      </w:lvl>
    </w:lvlOverride>
    <w:lvlOverride w:ilvl="3">
      <w:lvl w:ilvl="3">
        <w:start w:val="1"/>
        <w:numFmt w:val="lowerRoman"/>
        <w:pStyle w:val="Level4"/>
        <w:lvlText w:val="(%4)"/>
        <w:lvlJc w:val="left"/>
        <w:pPr>
          <w:tabs>
            <w:tab w:val="num" w:pos="2041"/>
          </w:tabs>
          <w:ind w:left="2041" w:hanging="680"/>
        </w:pPr>
        <w:rPr>
          <w:rFonts w:hint="default"/>
          <w:sz w:val="20"/>
        </w:rPr>
      </w:lvl>
    </w:lvlOverride>
    <w:lvlOverride w:ilvl="4">
      <w:lvl w:ilvl="4">
        <w:start w:val="1"/>
        <w:numFmt w:val="lowerLetter"/>
        <w:pStyle w:val="Level5"/>
        <w:lvlText w:val="(%5)"/>
        <w:lvlJc w:val="left"/>
        <w:pPr>
          <w:tabs>
            <w:tab w:val="num" w:pos="2722"/>
          </w:tabs>
          <w:ind w:left="2722" w:hanging="681"/>
        </w:pPr>
        <w:rPr>
          <w:rFonts w:hint="default"/>
          <w:sz w:val="20"/>
        </w:rPr>
      </w:lvl>
    </w:lvlOverride>
    <w:lvlOverride w:ilvl="5">
      <w:lvl w:ilvl="5">
        <w:start w:val="1"/>
        <w:numFmt w:val="upperRoman"/>
        <w:pStyle w:val="Level6"/>
        <w:lvlText w:val="(%6)"/>
        <w:lvlJc w:val="left"/>
        <w:pPr>
          <w:tabs>
            <w:tab w:val="num" w:pos="3402"/>
          </w:tabs>
          <w:ind w:left="3402" w:hanging="680"/>
        </w:pPr>
        <w:rPr>
          <w:rFonts w:hint="default"/>
          <w:sz w:val="20"/>
        </w:rPr>
      </w:lvl>
    </w:lvlOverride>
    <w:lvlOverride w:ilvl="6">
      <w:lvl w:ilvl="6">
        <w:start w:val="1"/>
        <w:numFmt w:val="none"/>
        <w:pStyle w:val="Level7"/>
        <w:lvlText w:val=""/>
        <w:lvlJc w:val="left"/>
        <w:pPr>
          <w:tabs>
            <w:tab w:val="num" w:pos="3402"/>
          </w:tabs>
          <w:ind w:left="3402" w:hanging="680"/>
        </w:pPr>
        <w:rPr>
          <w:rFonts w:hint="default"/>
        </w:rPr>
      </w:lvl>
    </w:lvlOverride>
    <w:lvlOverride w:ilvl="7">
      <w:lvl w:ilvl="7">
        <w:start w:val="1"/>
        <w:numFmt w:val="none"/>
        <w:pStyle w:val="Level8"/>
        <w:lvlText w:val=""/>
        <w:lvlJc w:val="left"/>
        <w:pPr>
          <w:tabs>
            <w:tab w:val="num" w:pos="3402"/>
          </w:tabs>
          <w:ind w:left="3402" w:hanging="680"/>
        </w:pPr>
        <w:rPr>
          <w:rFonts w:hint="default"/>
        </w:rPr>
      </w:lvl>
    </w:lvlOverride>
    <w:lvlOverride w:ilvl="8">
      <w:lvl w:ilvl="8">
        <w:start w:val="1"/>
        <w:numFmt w:val="none"/>
        <w:pStyle w:val="Level9"/>
        <w:lvlText w:val=""/>
        <w:lvlJc w:val="left"/>
        <w:pPr>
          <w:tabs>
            <w:tab w:val="num" w:pos="3402"/>
          </w:tabs>
          <w:ind w:left="3402" w:hanging="680"/>
        </w:pPr>
        <w:rPr>
          <w:rFonts w:hint="default"/>
        </w:rPr>
      </w:lvl>
    </w:lvlOverride>
  </w:num>
  <w:num w:numId="150" w16cid:durableId="1297954884">
    <w:abstractNumId w:val="15"/>
    <w:lvlOverride w:ilvl="0">
      <w:lvl w:ilvl="0">
        <w:numFmt w:val="decimal"/>
        <w:pStyle w:val="Level1"/>
        <w:lvlText w:val=""/>
        <w:lvlJc w:val="left"/>
      </w:lvl>
    </w:lvlOverride>
  </w:num>
  <w:num w:numId="151" w16cid:durableId="1869902761">
    <w:abstractNumId w:val="15"/>
    <w:lvlOverride w:ilvl="0">
      <w:lvl w:ilvl="0">
        <w:numFmt w:val="decimal"/>
        <w:pStyle w:val="Level1"/>
        <w:lvlText w:val=""/>
        <w:lvlJc w:val="left"/>
      </w:lvl>
    </w:lvlOverride>
  </w:num>
  <w:num w:numId="152" w16cid:durableId="238029364">
    <w:abstractNumId w:val="15"/>
    <w:lvlOverride w:ilvl="0">
      <w:lvl w:ilvl="0">
        <w:numFmt w:val="decimal"/>
        <w:pStyle w:val="Level1"/>
        <w:lvlText w:val=""/>
        <w:lvlJc w:val="left"/>
      </w:lvl>
    </w:lvlOverride>
  </w:num>
  <w:num w:numId="153" w16cid:durableId="1368287624">
    <w:abstractNumId w:val="15"/>
    <w:lvlOverride w:ilvl="0">
      <w:lvl w:ilvl="0">
        <w:numFmt w:val="decimal"/>
        <w:pStyle w:val="Level1"/>
        <w:lvlText w:val=""/>
        <w:lvlJc w:val="left"/>
      </w:lvl>
    </w:lvlOverride>
  </w:num>
  <w:num w:numId="154" w16cid:durableId="249003953">
    <w:abstractNumId w:val="15"/>
    <w:lvlOverride w:ilvl="0">
      <w:lvl w:ilvl="0">
        <w:numFmt w:val="decimal"/>
        <w:pStyle w:val="Level1"/>
        <w:lvlText w:val=""/>
        <w:lvlJc w:val="left"/>
      </w:lvl>
    </w:lvlOverride>
  </w:num>
  <w:num w:numId="155" w16cid:durableId="1738740492">
    <w:abstractNumId w:val="15"/>
    <w:lvlOverride w:ilvl="0">
      <w:lvl w:ilvl="0">
        <w:numFmt w:val="decimal"/>
        <w:pStyle w:val="Level1"/>
        <w:lvlText w:val=""/>
        <w:lvlJc w:val="left"/>
      </w:lvl>
    </w:lvlOverride>
  </w:num>
  <w:num w:numId="156" w16cid:durableId="1866357872">
    <w:abstractNumId w:val="15"/>
    <w:lvlOverride w:ilvl="0">
      <w:lvl w:ilvl="0">
        <w:numFmt w:val="decimal"/>
        <w:pStyle w:val="Level1"/>
        <w:lvlText w:val=""/>
        <w:lvlJc w:val="left"/>
      </w:lvl>
    </w:lvlOverride>
  </w:num>
  <w:num w:numId="157" w16cid:durableId="1523515694">
    <w:abstractNumId w:val="15"/>
    <w:lvlOverride w:ilvl="0">
      <w:lvl w:ilvl="0">
        <w:numFmt w:val="decimal"/>
        <w:pStyle w:val="Level1"/>
        <w:lvlText w:val=""/>
        <w:lvlJc w:val="left"/>
      </w:lvl>
    </w:lvlOverride>
  </w:num>
  <w:num w:numId="158" w16cid:durableId="1226263501">
    <w:abstractNumId w:val="15"/>
    <w:lvlOverride w:ilvl="0">
      <w:lvl w:ilvl="0">
        <w:numFmt w:val="decimal"/>
        <w:pStyle w:val="Level1"/>
        <w:lvlText w:val=""/>
        <w:lvlJc w:val="left"/>
      </w:lvl>
    </w:lvlOverride>
  </w:num>
  <w:num w:numId="159" w16cid:durableId="98645742">
    <w:abstractNumId w:val="15"/>
    <w:lvlOverride w:ilvl="0">
      <w:lvl w:ilvl="0">
        <w:numFmt w:val="decimal"/>
        <w:pStyle w:val="Level1"/>
        <w:lvlText w:val=""/>
        <w:lvlJc w:val="left"/>
      </w:lvl>
    </w:lvlOverride>
  </w:num>
  <w:num w:numId="160" w16cid:durableId="737897564">
    <w:abstractNumId w:val="15"/>
    <w:lvlOverride w:ilvl="0">
      <w:lvl w:ilvl="0">
        <w:numFmt w:val="decimal"/>
        <w:pStyle w:val="Level1"/>
        <w:lvlText w:val=""/>
        <w:lvlJc w:val="left"/>
      </w:lvl>
    </w:lvlOverride>
  </w:num>
  <w:num w:numId="161" w16cid:durableId="870531005">
    <w:abstractNumId w:val="15"/>
    <w:lvlOverride w:ilvl="0">
      <w:lvl w:ilvl="0">
        <w:numFmt w:val="decimal"/>
        <w:pStyle w:val="Level1"/>
        <w:lvlText w:val=""/>
        <w:lvlJc w:val="left"/>
      </w:lvl>
    </w:lvlOverride>
  </w:num>
  <w:num w:numId="162" w16cid:durableId="618418006">
    <w:abstractNumId w:val="15"/>
    <w:lvlOverride w:ilvl="0">
      <w:lvl w:ilvl="0">
        <w:start w:val="1"/>
        <w:numFmt w:val="decimal"/>
        <w:pStyle w:val="Level1"/>
        <w:lvlText w:val="%1"/>
        <w:lvlJc w:val="left"/>
        <w:pPr>
          <w:ind w:left="0" w:firstLine="0"/>
        </w:pPr>
        <w:rPr>
          <w:rFonts w:hint="default"/>
        </w:rPr>
      </w:lvl>
    </w:lvlOverride>
    <w:lvlOverride w:ilvl="1">
      <w:lvl w:ilvl="1">
        <w:start w:val="1"/>
        <w:numFmt w:val="decimal"/>
        <w:pStyle w:val="Level2"/>
        <w:lvlText w:val="%1.%2"/>
        <w:lvlJc w:val="left"/>
        <w:pPr>
          <w:tabs>
            <w:tab w:val="num" w:pos="680"/>
          </w:tabs>
          <w:ind w:left="680" w:hanging="680"/>
        </w:pPr>
        <w:rPr>
          <w:rFonts w:hint="default"/>
          <w:b/>
          <w:i w:val="0"/>
          <w:sz w:val="21"/>
        </w:rPr>
      </w:lvl>
    </w:lvlOverride>
    <w:lvlOverride w:ilvl="2">
      <w:lvl w:ilvl="2">
        <w:start w:val="1"/>
        <w:numFmt w:val="decimal"/>
        <w:pStyle w:val="Level3"/>
        <w:lvlText w:val="%1.%2.%3"/>
        <w:lvlJc w:val="left"/>
        <w:pPr>
          <w:tabs>
            <w:tab w:val="num" w:pos="1361"/>
          </w:tabs>
          <w:ind w:left="1361" w:hanging="681"/>
        </w:pPr>
        <w:rPr>
          <w:rFonts w:hint="default"/>
          <w:b/>
          <w:i w:val="0"/>
          <w:sz w:val="17"/>
        </w:rPr>
      </w:lvl>
    </w:lvlOverride>
    <w:lvlOverride w:ilvl="3">
      <w:lvl w:ilvl="3">
        <w:start w:val="1"/>
        <w:numFmt w:val="lowerRoman"/>
        <w:pStyle w:val="Level4"/>
        <w:lvlText w:val="(%4)"/>
        <w:lvlJc w:val="left"/>
        <w:pPr>
          <w:tabs>
            <w:tab w:val="num" w:pos="2041"/>
          </w:tabs>
          <w:ind w:left="2041" w:hanging="680"/>
        </w:pPr>
        <w:rPr>
          <w:rFonts w:hint="default"/>
          <w:sz w:val="20"/>
        </w:rPr>
      </w:lvl>
    </w:lvlOverride>
    <w:lvlOverride w:ilvl="4">
      <w:lvl w:ilvl="4">
        <w:start w:val="1"/>
        <w:numFmt w:val="lowerLetter"/>
        <w:pStyle w:val="Level5"/>
        <w:lvlText w:val="(%5)"/>
        <w:lvlJc w:val="left"/>
        <w:pPr>
          <w:tabs>
            <w:tab w:val="num" w:pos="2722"/>
          </w:tabs>
          <w:ind w:left="2722" w:hanging="681"/>
        </w:pPr>
        <w:rPr>
          <w:rFonts w:hint="default"/>
          <w:sz w:val="20"/>
        </w:rPr>
      </w:lvl>
    </w:lvlOverride>
    <w:lvlOverride w:ilvl="5">
      <w:lvl w:ilvl="5">
        <w:start w:val="1"/>
        <w:numFmt w:val="upperRoman"/>
        <w:pStyle w:val="Level6"/>
        <w:lvlText w:val="(%6)"/>
        <w:lvlJc w:val="left"/>
        <w:pPr>
          <w:tabs>
            <w:tab w:val="num" w:pos="3402"/>
          </w:tabs>
          <w:ind w:left="3402" w:hanging="680"/>
        </w:pPr>
        <w:rPr>
          <w:rFonts w:hint="default"/>
          <w:sz w:val="20"/>
        </w:rPr>
      </w:lvl>
    </w:lvlOverride>
    <w:lvlOverride w:ilvl="6">
      <w:lvl w:ilvl="6">
        <w:start w:val="1"/>
        <w:numFmt w:val="none"/>
        <w:pStyle w:val="Level7"/>
        <w:lvlText w:val=""/>
        <w:lvlJc w:val="left"/>
        <w:pPr>
          <w:tabs>
            <w:tab w:val="num" w:pos="3402"/>
          </w:tabs>
          <w:ind w:left="3402" w:hanging="680"/>
        </w:pPr>
        <w:rPr>
          <w:rFonts w:hint="default"/>
        </w:rPr>
      </w:lvl>
    </w:lvlOverride>
    <w:lvlOverride w:ilvl="7">
      <w:lvl w:ilvl="7">
        <w:start w:val="1"/>
        <w:numFmt w:val="none"/>
        <w:pStyle w:val="Level8"/>
        <w:lvlText w:val=""/>
        <w:lvlJc w:val="left"/>
        <w:pPr>
          <w:tabs>
            <w:tab w:val="num" w:pos="3402"/>
          </w:tabs>
          <w:ind w:left="3402" w:hanging="680"/>
        </w:pPr>
        <w:rPr>
          <w:rFonts w:hint="default"/>
        </w:rPr>
      </w:lvl>
    </w:lvlOverride>
    <w:lvlOverride w:ilvl="8">
      <w:lvl w:ilvl="8">
        <w:start w:val="1"/>
        <w:numFmt w:val="none"/>
        <w:pStyle w:val="Level9"/>
        <w:lvlText w:val=""/>
        <w:lvlJc w:val="left"/>
        <w:pPr>
          <w:tabs>
            <w:tab w:val="num" w:pos="3402"/>
          </w:tabs>
          <w:ind w:left="3402" w:hanging="680"/>
        </w:pPr>
        <w:rPr>
          <w:rFonts w:hint="default"/>
        </w:rPr>
      </w:lvl>
    </w:lvlOverride>
  </w:num>
  <w:num w:numId="163" w16cid:durableId="1915894841">
    <w:abstractNumId w:val="15"/>
    <w:lvlOverride w:ilvl="0">
      <w:lvl w:ilvl="0">
        <w:start w:val="1"/>
        <w:numFmt w:val="decimal"/>
        <w:pStyle w:val="Level1"/>
        <w:lvlText w:val="%1"/>
        <w:lvlJc w:val="left"/>
        <w:pPr>
          <w:ind w:left="0" w:firstLine="0"/>
        </w:pPr>
        <w:rPr>
          <w:rFonts w:hint="default"/>
        </w:rPr>
      </w:lvl>
    </w:lvlOverride>
    <w:lvlOverride w:ilvl="1">
      <w:lvl w:ilvl="1">
        <w:start w:val="1"/>
        <w:numFmt w:val="decimal"/>
        <w:pStyle w:val="Level2"/>
        <w:lvlText w:val="%1.%2"/>
        <w:lvlJc w:val="left"/>
        <w:pPr>
          <w:tabs>
            <w:tab w:val="num" w:pos="680"/>
          </w:tabs>
          <w:ind w:left="680" w:hanging="680"/>
        </w:pPr>
        <w:rPr>
          <w:rFonts w:hint="default"/>
          <w:b/>
          <w:i w:val="0"/>
          <w:sz w:val="21"/>
        </w:rPr>
      </w:lvl>
    </w:lvlOverride>
    <w:lvlOverride w:ilvl="2">
      <w:lvl w:ilvl="2">
        <w:start w:val="1"/>
        <w:numFmt w:val="decimal"/>
        <w:pStyle w:val="Level3"/>
        <w:lvlText w:val="%1.%2.%3"/>
        <w:lvlJc w:val="left"/>
        <w:pPr>
          <w:tabs>
            <w:tab w:val="num" w:pos="1361"/>
          </w:tabs>
          <w:ind w:left="1361" w:hanging="681"/>
        </w:pPr>
        <w:rPr>
          <w:rFonts w:hint="default"/>
          <w:b/>
          <w:i w:val="0"/>
          <w:sz w:val="17"/>
        </w:rPr>
      </w:lvl>
    </w:lvlOverride>
    <w:lvlOverride w:ilvl="3">
      <w:lvl w:ilvl="3">
        <w:start w:val="1"/>
        <w:numFmt w:val="lowerRoman"/>
        <w:pStyle w:val="Level4"/>
        <w:lvlText w:val="(%4)"/>
        <w:lvlJc w:val="left"/>
        <w:pPr>
          <w:tabs>
            <w:tab w:val="num" w:pos="2041"/>
          </w:tabs>
          <w:ind w:left="2041" w:hanging="680"/>
        </w:pPr>
        <w:rPr>
          <w:rFonts w:hint="default"/>
          <w:sz w:val="20"/>
        </w:rPr>
      </w:lvl>
    </w:lvlOverride>
    <w:lvlOverride w:ilvl="4">
      <w:lvl w:ilvl="4">
        <w:start w:val="1"/>
        <w:numFmt w:val="lowerLetter"/>
        <w:pStyle w:val="Level5"/>
        <w:lvlText w:val="(%5)"/>
        <w:lvlJc w:val="left"/>
        <w:pPr>
          <w:tabs>
            <w:tab w:val="num" w:pos="2722"/>
          </w:tabs>
          <w:ind w:left="2722" w:hanging="681"/>
        </w:pPr>
        <w:rPr>
          <w:rFonts w:hint="default"/>
          <w:sz w:val="20"/>
        </w:rPr>
      </w:lvl>
    </w:lvlOverride>
    <w:lvlOverride w:ilvl="5">
      <w:lvl w:ilvl="5">
        <w:start w:val="1"/>
        <w:numFmt w:val="upperRoman"/>
        <w:pStyle w:val="Level6"/>
        <w:lvlText w:val="(%6)"/>
        <w:lvlJc w:val="left"/>
        <w:pPr>
          <w:tabs>
            <w:tab w:val="num" w:pos="3402"/>
          </w:tabs>
          <w:ind w:left="3402" w:hanging="680"/>
        </w:pPr>
        <w:rPr>
          <w:rFonts w:hint="default"/>
          <w:sz w:val="20"/>
        </w:rPr>
      </w:lvl>
    </w:lvlOverride>
    <w:lvlOverride w:ilvl="6">
      <w:lvl w:ilvl="6">
        <w:start w:val="1"/>
        <w:numFmt w:val="none"/>
        <w:pStyle w:val="Level7"/>
        <w:lvlText w:val=""/>
        <w:lvlJc w:val="left"/>
        <w:pPr>
          <w:tabs>
            <w:tab w:val="num" w:pos="3402"/>
          </w:tabs>
          <w:ind w:left="3402" w:hanging="680"/>
        </w:pPr>
        <w:rPr>
          <w:rFonts w:hint="default"/>
        </w:rPr>
      </w:lvl>
    </w:lvlOverride>
    <w:lvlOverride w:ilvl="7">
      <w:lvl w:ilvl="7">
        <w:start w:val="1"/>
        <w:numFmt w:val="none"/>
        <w:pStyle w:val="Level8"/>
        <w:lvlText w:val=""/>
        <w:lvlJc w:val="left"/>
        <w:pPr>
          <w:tabs>
            <w:tab w:val="num" w:pos="3402"/>
          </w:tabs>
          <w:ind w:left="3402" w:hanging="680"/>
        </w:pPr>
        <w:rPr>
          <w:rFonts w:hint="default"/>
        </w:rPr>
      </w:lvl>
    </w:lvlOverride>
    <w:lvlOverride w:ilvl="8">
      <w:lvl w:ilvl="8">
        <w:start w:val="1"/>
        <w:numFmt w:val="none"/>
        <w:pStyle w:val="Level9"/>
        <w:lvlText w:val=""/>
        <w:lvlJc w:val="left"/>
        <w:pPr>
          <w:tabs>
            <w:tab w:val="num" w:pos="3402"/>
          </w:tabs>
          <w:ind w:left="3402" w:hanging="680"/>
        </w:pPr>
        <w:rPr>
          <w:rFonts w:hint="default"/>
        </w:rPr>
      </w:lvl>
    </w:lvlOverride>
  </w:num>
  <w:num w:numId="164" w16cid:durableId="757799138">
    <w:abstractNumId w:val="15"/>
    <w:lvlOverride w:ilvl="0">
      <w:lvl w:ilvl="0">
        <w:start w:val="1"/>
        <w:numFmt w:val="decimal"/>
        <w:pStyle w:val="Level1"/>
        <w:lvlText w:val="%1"/>
        <w:lvlJc w:val="left"/>
        <w:pPr>
          <w:ind w:left="0" w:firstLine="0"/>
        </w:pPr>
        <w:rPr>
          <w:rFonts w:hint="default"/>
        </w:rPr>
      </w:lvl>
    </w:lvlOverride>
    <w:lvlOverride w:ilvl="1">
      <w:lvl w:ilvl="1">
        <w:start w:val="1"/>
        <w:numFmt w:val="decimal"/>
        <w:pStyle w:val="Level2"/>
        <w:lvlText w:val="%1.%2"/>
        <w:lvlJc w:val="left"/>
        <w:pPr>
          <w:tabs>
            <w:tab w:val="num" w:pos="680"/>
          </w:tabs>
          <w:ind w:left="680" w:hanging="680"/>
        </w:pPr>
        <w:rPr>
          <w:rFonts w:hint="default"/>
          <w:b/>
          <w:i w:val="0"/>
          <w:sz w:val="21"/>
        </w:rPr>
      </w:lvl>
    </w:lvlOverride>
    <w:lvlOverride w:ilvl="2">
      <w:lvl w:ilvl="2">
        <w:start w:val="1"/>
        <w:numFmt w:val="decimal"/>
        <w:pStyle w:val="Level3"/>
        <w:lvlText w:val="%1.%2.%3"/>
        <w:lvlJc w:val="left"/>
        <w:pPr>
          <w:tabs>
            <w:tab w:val="num" w:pos="1361"/>
          </w:tabs>
          <w:ind w:left="1361" w:hanging="681"/>
        </w:pPr>
        <w:rPr>
          <w:rFonts w:hint="default"/>
          <w:b/>
          <w:i w:val="0"/>
          <w:sz w:val="17"/>
        </w:rPr>
      </w:lvl>
    </w:lvlOverride>
    <w:lvlOverride w:ilvl="3">
      <w:lvl w:ilvl="3">
        <w:start w:val="1"/>
        <w:numFmt w:val="lowerRoman"/>
        <w:pStyle w:val="Level4"/>
        <w:lvlText w:val="(%4)"/>
        <w:lvlJc w:val="left"/>
        <w:pPr>
          <w:tabs>
            <w:tab w:val="num" w:pos="2041"/>
          </w:tabs>
          <w:ind w:left="2041" w:hanging="680"/>
        </w:pPr>
        <w:rPr>
          <w:rFonts w:hint="default"/>
          <w:sz w:val="20"/>
        </w:rPr>
      </w:lvl>
    </w:lvlOverride>
    <w:lvlOverride w:ilvl="4">
      <w:lvl w:ilvl="4">
        <w:start w:val="1"/>
        <w:numFmt w:val="lowerLetter"/>
        <w:pStyle w:val="Level5"/>
        <w:lvlText w:val="(%5)"/>
        <w:lvlJc w:val="left"/>
        <w:pPr>
          <w:tabs>
            <w:tab w:val="num" w:pos="2722"/>
          </w:tabs>
          <w:ind w:left="2722" w:hanging="681"/>
        </w:pPr>
        <w:rPr>
          <w:rFonts w:hint="default"/>
          <w:sz w:val="20"/>
        </w:rPr>
      </w:lvl>
    </w:lvlOverride>
    <w:lvlOverride w:ilvl="5">
      <w:lvl w:ilvl="5">
        <w:start w:val="1"/>
        <w:numFmt w:val="upperRoman"/>
        <w:pStyle w:val="Level6"/>
        <w:lvlText w:val="(%6)"/>
        <w:lvlJc w:val="left"/>
        <w:pPr>
          <w:tabs>
            <w:tab w:val="num" w:pos="3402"/>
          </w:tabs>
          <w:ind w:left="3402" w:hanging="680"/>
        </w:pPr>
        <w:rPr>
          <w:rFonts w:hint="default"/>
          <w:sz w:val="20"/>
        </w:rPr>
      </w:lvl>
    </w:lvlOverride>
    <w:lvlOverride w:ilvl="6">
      <w:lvl w:ilvl="6">
        <w:start w:val="1"/>
        <w:numFmt w:val="none"/>
        <w:pStyle w:val="Level7"/>
        <w:lvlText w:val=""/>
        <w:lvlJc w:val="left"/>
        <w:pPr>
          <w:tabs>
            <w:tab w:val="num" w:pos="3402"/>
          </w:tabs>
          <w:ind w:left="3402" w:hanging="680"/>
        </w:pPr>
        <w:rPr>
          <w:rFonts w:hint="default"/>
        </w:rPr>
      </w:lvl>
    </w:lvlOverride>
    <w:lvlOverride w:ilvl="7">
      <w:lvl w:ilvl="7">
        <w:start w:val="1"/>
        <w:numFmt w:val="none"/>
        <w:pStyle w:val="Level8"/>
        <w:lvlText w:val=""/>
        <w:lvlJc w:val="left"/>
        <w:pPr>
          <w:tabs>
            <w:tab w:val="num" w:pos="3402"/>
          </w:tabs>
          <w:ind w:left="3402" w:hanging="680"/>
        </w:pPr>
        <w:rPr>
          <w:rFonts w:hint="default"/>
        </w:rPr>
      </w:lvl>
    </w:lvlOverride>
    <w:lvlOverride w:ilvl="8">
      <w:lvl w:ilvl="8">
        <w:start w:val="1"/>
        <w:numFmt w:val="none"/>
        <w:pStyle w:val="Level9"/>
        <w:lvlText w:val=""/>
        <w:lvlJc w:val="left"/>
        <w:pPr>
          <w:tabs>
            <w:tab w:val="num" w:pos="3402"/>
          </w:tabs>
          <w:ind w:left="3402" w:hanging="680"/>
        </w:pPr>
        <w:rPr>
          <w:rFonts w:hint="default"/>
        </w:rPr>
      </w:lvl>
    </w:lvlOverride>
  </w:num>
  <w:num w:numId="165" w16cid:durableId="257904878">
    <w:abstractNumId w:val="15"/>
    <w:lvlOverride w:ilvl="0">
      <w:lvl w:ilvl="0">
        <w:start w:val="1"/>
        <w:numFmt w:val="decimal"/>
        <w:pStyle w:val="Level1"/>
        <w:lvlText w:val="%1"/>
        <w:lvlJc w:val="left"/>
        <w:pPr>
          <w:ind w:left="0" w:firstLine="0"/>
        </w:pPr>
        <w:rPr>
          <w:rFonts w:hint="default"/>
        </w:rPr>
      </w:lvl>
    </w:lvlOverride>
    <w:lvlOverride w:ilvl="1">
      <w:lvl w:ilvl="1">
        <w:start w:val="1"/>
        <w:numFmt w:val="decimal"/>
        <w:pStyle w:val="Level2"/>
        <w:lvlText w:val="%1.%2"/>
        <w:lvlJc w:val="left"/>
        <w:pPr>
          <w:tabs>
            <w:tab w:val="num" w:pos="680"/>
          </w:tabs>
          <w:ind w:left="680" w:hanging="680"/>
        </w:pPr>
        <w:rPr>
          <w:rFonts w:hint="default"/>
          <w:b/>
          <w:i w:val="0"/>
          <w:sz w:val="21"/>
        </w:rPr>
      </w:lvl>
    </w:lvlOverride>
    <w:lvlOverride w:ilvl="2">
      <w:lvl w:ilvl="2">
        <w:start w:val="1"/>
        <w:numFmt w:val="decimal"/>
        <w:pStyle w:val="Level3"/>
        <w:lvlText w:val="%1.%2.%3"/>
        <w:lvlJc w:val="left"/>
        <w:pPr>
          <w:tabs>
            <w:tab w:val="num" w:pos="1361"/>
          </w:tabs>
          <w:ind w:left="1361" w:hanging="681"/>
        </w:pPr>
        <w:rPr>
          <w:rFonts w:hint="default"/>
          <w:b/>
          <w:i w:val="0"/>
          <w:sz w:val="17"/>
        </w:rPr>
      </w:lvl>
    </w:lvlOverride>
    <w:lvlOverride w:ilvl="3">
      <w:lvl w:ilvl="3">
        <w:start w:val="1"/>
        <w:numFmt w:val="lowerRoman"/>
        <w:pStyle w:val="Level4"/>
        <w:lvlText w:val="(%4)"/>
        <w:lvlJc w:val="left"/>
        <w:pPr>
          <w:tabs>
            <w:tab w:val="num" w:pos="2041"/>
          </w:tabs>
          <w:ind w:left="2041" w:hanging="680"/>
        </w:pPr>
        <w:rPr>
          <w:rFonts w:hint="default"/>
          <w:sz w:val="20"/>
        </w:rPr>
      </w:lvl>
    </w:lvlOverride>
    <w:lvlOverride w:ilvl="4">
      <w:lvl w:ilvl="4">
        <w:start w:val="1"/>
        <w:numFmt w:val="lowerLetter"/>
        <w:pStyle w:val="Level5"/>
        <w:lvlText w:val="(%5)"/>
        <w:lvlJc w:val="left"/>
        <w:pPr>
          <w:tabs>
            <w:tab w:val="num" w:pos="2722"/>
          </w:tabs>
          <w:ind w:left="2722" w:hanging="681"/>
        </w:pPr>
        <w:rPr>
          <w:rFonts w:hint="default"/>
          <w:sz w:val="20"/>
        </w:rPr>
      </w:lvl>
    </w:lvlOverride>
    <w:lvlOverride w:ilvl="5">
      <w:lvl w:ilvl="5">
        <w:start w:val="1"/>
        <w:numFmt w:val="upperRoman"/>
        <w:pStyle w:val="Level6"/>
        <w:lvlText w:val="(%6)"/>
        <w:lvlJc w:val="left"/>
        <w:pPr>
          <w:tabs>
            <w:tab w:val="num" w:pos="3402"/>
          </w:tabs>
          <w:ind w:left="3402" w:hanging="680"/>
        </w:pPr>
        <w:rPr>
          <w:rFonts w:hint="default"/>
          <w:sz w:val="20"/>
        </w:rPr>
      </w:lvl>
    </w:lvlOverride>
    <w:lvlOverride w:ilvl="6">
      <w:lvl w:ilvl="6">
        <w:start w:val="1"/>
        <w:numFmt w:val="none"/>
        <w:pStyle w:val="Level7"/>
        <w:lvlText w:val=""/>
        <w:lvlJc w:val="left"/>
        <w:pPr>
          <w:tabs>
            <w:tab w:val="num" w:pos="3402"/>
          </w:tabs>
          <w:ind w:left="3402" w:hanging="680"/>
        </w:pPr>
        <w:rPr>
          <w:rFonts w:hint="default"/>
        </w:rPr>
      </w:lvl>
    </w:lvlOverride>
    <w:lvlOverride w:ilvl="7">
      <w:lvl w:ilvl="7">
        <w:start w:val="1"/>
        <w:numFmt w:val="none"/>
        <w:pStyle w:val="Level8"/>
        <w:lvlText w:val=""/>
        <w:lvlJc w:val="left"/>
        <w:pPr>
          <w:tabs>
            <w:tab w:val="num" w:pos="3402"/>
          </w:tabs>
          <w:ind w:left="3402" w:hanging="680"/>
        </w:pPr>
        <w:rPr>
          <w:rFonts w:hint="default"/>
        </w:rPr>
      </w:lvl>
    </w:lvlOverride>
    <w:lvlOverride w:ilvl="8">
      <w:lvl w:ilvl="8">
        <w:start w:val="1"/>
        <w:numFmt w:val="none"/>
        <w:pStyle w:val="Level9"/>
        <w:lvlText w:val=""/>
        <w:lvlJc w:val="left"/>
        <w:pPr>
          <w:tabs>
            <w:tab w:val="num" w:pos="3402"/>
          </w:tabs>
          <w:ind w:left="3402" w:hanging="680"/>
        </w:pPr>
        <w:rPr>
          <w:rFonts w:hint="default"/>
        </w:rPr>
      </w:lvl>
    </w:lvlOverride>
  </w:num>
  <w:num w:numId="166" w16cid:durableId="1004896018">
    <w:abstractNumId w:val="15"/>
    <w:lvlOverride w:ilvl="0">
      <w:lvl w:ilvl="0">
        <w:start w:val="1"/>
        <w:numFmt w:val="decimal"/>
        <w:pStyle w:val="Level1"/>
        <w:lvlText w:val="%1"/>
        <w:lvlJc w:val="left"/>
        <w:pPr>
          <w:ind w:left="0" w:firstLine="0"/>
        </w:pPr>
        <w:rPr>
          <w:rFonts w:hint="default"/>
        </w:rPr>
      </w:lvl>
    </w:lvlOverride>
    <w:lvlOverride w:ilvl="1">
      <w:lvl w:ilvl="1">
        <w:start w:val="1"/>
        <w:numFmt w:val="decimal"/>
        <w:pStyle w:val="Level2"/>
        <w:lvlText w:val="%1.%2"/>
        <w:lvlJc w:val="left"/>
        <w:pPr>
          <w:tabs>
            <w:tab w:val="num" w:pos="680"/>
          </w:tabs>
          <w:ind w:left="680" w:hanging="680"/>
        </w:pPr>
        <w:rPr>
          <w:rFonts w:hint="default"/>
          <w:b/>
          <w:i w:val="0"/>
          <w:sz w:val="21"/>
        </w:rPr>
      </w:lvl>
    </w:lvlOverride>
    <w:lvlOverride w:ilvl="2">
      <w:lvl w:ilvl="2">
        <w:start w:val="1"/>
        <w:numFmt w:val="decimal"/>
        <w:pStyle w:val="Level3"/>
        <w:lvlText w:val="%1.%2.%3"/>
        <w:lvlJc w:val="left"/>
        <w:pPr>
          <w:tabs>
            <w:tab w:val="num" w:pos="1361"/>
          </w:tabs>
          <w:ind w:left="1361" w:hanging="681"/>
        </w:pPr>
        <w:rPr>
          <w:rFonts w:hint="default"/>
          <w:b/>
          <w:i w:val="0"/>
          <w:sz w:val="17"/>
        </w:rPr>
      </w:lvl>
    </w:lvlOverride>
    <w:lvlOverride w:ilvl="3">
      <w:lvl w:ilvl="3">
        <w:start w:val="1"/>
        <w:numFmt w:val="lowerRoman"/>
        <w:pStyle w:val="Level4"/>
        <w:lvlText w:val="(%4)"/>
        <w:lvlJc w:val="left"/>
        <w:pPr>
          <w:tabs>
            <w:tab w:val="num" w:pos="2041"/>
          </w:tabs>
          <w:ind w:left="2041" w:hanging="680"/>
        </w:pPr>
        <w:rPr>
          <w:rFonts w:hint="default"/>
          <w:sz w:val="20"/>
        </w:rPr>
      </w:lvl>
    </w:lvlOverride>
    <w:lvlOverride w:ilvl="4">
      <w:lvl w:ilvl="4">
        <w:start w:val="1"/>
        <w:numFmt w:val="lowerLetter"/>
        <w:pStyle w:val="Level5"/>
        <w:lvlText w:val="(%5)"/>
        <w:lvlJc w:val="left"/>
        <w:pPr>
          <w:tabs>
            <w:tab w:val="num" w:pos="2722"/>
          </w:tabs>
          <w:ind w:left="2722" w:hanging="681"/>
        </w:pPr>
        <w:rPr>
          <w:rFonts w:hint="default"/>
          <w:sz w:val="20"/>
        </w:rPr>
      </w:lvl>
    </w:lvlOverride>
    <w:lvlOverride w:ilvl="5">
      <w:lvl w:ilvl="5">
        <w:start w:val="1"/>
        <w:numFmt w:val="upperRoman"/>
        <w:pStyle w:val="Level6"/>
        <w:lvlText w:val="(%6)"/>
        <w:lvlJc w:val="left"/>
        <w:pPr>
          <w:tabs>
            <w:tab w:val="num" w:pos="3402"/>
          </w:tabs>
          <w:ind w:left="3402" w:hanging="680"/>
        </w:pPr>
        <w:rPr>
          <w:rFonts w:hint="default"/>
          <w:sz w:val="20"/>
        </w:rPr>
      </w:lvl>
    </w:lvlOverride>
    <w:lvlOverride w:ilvl="6">
      <w:lvl w:ilvl="6">
        <w:start w:val="1"/>
        <w:numFmt w:val="none"/>
        <w:pStyle w:val="Level7"/>
        <w:lvlText w:val=""/>
        <w:lvlJc w:val="left"/>
        <w:pPr>
          <w:tabs>
            <w:tab w:val="num" w:pos="3402"/>
          </w:tabs>
          <w:ind w:left="3402" w:hanging="680"/>
        </w:pPr>
        <w:rPr>
          <w:rFonts w:hint="default"/>
        </w:rPr>
      </w:lvl>
    </w:lvlOverride>
    <w:lvlOverride w:ilvl="7">
      <w:lvl w:ilvl="7">
        <w:start w:val="1"/>
        <w:numFmt w:val="none"/>
        <w:pStyle w:val="Level8"/>
        <w:lvlText w:val=""/>
        <w:lvlJc w:val="left"/>
        <w:pPr>
          <w:tabs>
            <w:tab w:val="num" w:pos="3402"/>
          </w:tabs>
          <w:ind w:left="3402" w:hanging="680"/>
        </w:pPr>
        <w:rPr>
          <w:rFonts w:hint="default"/>
        </w:rPr>
      </w:lvl>
    </w:lvlOverride>
    <w:lvlOverride w:ilvl="8">
      <w:lvl w:ilvl="8">
        <w:start w:val="1"/>
        <w:numFmt w:val="none"/>
        <w:pStyle w:val="Level9"/>
        <w:lvlText w:val=""/>
        <w:lvlJc w:val="left"/>
        <w:pPr>
          <w:tabs>
            <w:tab w:val="num" w:pos="3402"/>
          </w:tabs>
          <w:ind w:left="3402" w:hanging="680"/>
        </w:pPr>
        <w:rPr>
          <w:rFonts w:hint="default"/>
        </w:rPr>
      </w:lvl>
    </w:lvlOverride>
  </w:num>
  <w:num w:numId="167" w16cid:durableId="1105030280">
    <w:abstractNumId w:val="15"/>
    <w:lvlOverride w:ilvl="0">
      <w:lvl w:ilvl="0">
        <w:start w:val="1"/>
        <w:numFmt w:val="decimal"/>
        <w:pStyle w:val="Level1"/>
        <w:lvlText w:val="%1"/>
        <w:lvlJc w:val="left"/>
        <w:pPr>
          <w:ind w:left="0" w:firstLine="0"/>
        </w:pPr>
        <w:rPr>
          <w:rFonts w:hint="default"/>
        </w:rPr>
      </w:lvl>
    </w:lvlOverride>
    <w:lvlOverride w:ilvl="1">
      <w:lvl w:ilvl="1">
        <w:start w:val="1"/>
        <w:numFmt w:val="decimal"/>
        <w:pStyle w:val="Level2"/>
        <w:lvlText w:val="%1.%2"/>
        <w:lvlJc w:val="left"/>
        <w:pPr>
          <w:tabs>
            <w:tab w:val="num" w:pos="680"/>
          </w:tabs>
          <w:ind w:left="680" w:hanging="680"/>
        </w:pPr>
        <w:rPr>
          <w:rFonts w:hint="default"/>
          <w:b/>
          <w:i w:val="0"/>
          <w:sz w:val="21"/>
        </w:rPr>
      </w:lvl>
    </w:lvlOverride>
    <w:lvlOverride w:ilvl="2">
      <w:lvl w:ilvl="2">
        <w:start w:val="1"/>
        <w:numFmt w:val="decimal"/>
        <w:pStyle w:val="Level3"/>
        <w:lvlText w:val="%1.%2.%3"/>
        <w:lvlJc w:val="left"/>
        <w:pPr>
          <w:tabs>
            <w:tab w:val="num" w:pos="1361"/>
          </w:tabs>
          <w:ind w:left="1361" w:hanging="681"/>
        </w:pPr>
        <w:rPr>
          <w:rFonts w:hint="default"/>
          <w:b/>
          <w:i w:val="0"/>
          <w:sz w:val="17"/>
        </w:rPr>
      </w:lvl>
    </w:lvlOverride>
    <w:lvlOverride w:ilvl="3">
      <w:lvl w:ilvl="3">
        <w:start w:val="1"/>
        <w:numFmt w:val="lowerRoman"/>
        <w:pStyle w:val="Level4"/>
        <w:lvlText w:val="(%4)"/>
        <w:lvlJc w:val="left"/>
        <w:pPr>
          <w:tabs>
            <w:tab w:val="num" w:pos="2041"/>
          </w:tabs>
          <w:ind w:left="2041" w:hanging="680"/>
        </w:pPr>
        <w:rPr>
          <w:rFonts w:hint="default"/>
          <w:sz w:val="20"/>
        </w:rPr>
      </w:lvl>
    </w:lvlOverride>
    <w:lvlOverride w:ilvl="4">
      <w:lvl w:ilvl="4">
        <w:start w:val="1"/>
        <w:numFmt w:val="lowerLetter"/>
        <w:pStyle w:val="Level5"/>
        <w:lvlText w:val="(%5)"/>
        <w:lvlJc w:val="left"/>
        <w:pPr>
          <w:tabs>
            <w:tab w:val="num" w:pos="2722"/>
          </w:tabs>
          <w:ind w:left="2722" w:hanging="681"/>
        </w:pPr>
        <w:rPr>
          <w:rFonts w:hint="default"/>
          <w:sz w:val="20"/>
        </w:rPr>
      </w:lvl>
    </w:lvlOverride>
    <w:lvlOverride w:ilvl="5">
      <w:lvl w:ilvl="5">
        <w:start w:val="1"/>
        <w:numFmt w:val="upperRoman"/>
        <w:pStyle w:val="Level6"/>
        <w:lvlText w:val="(%6)"/>
        <w:lvlJc w:val="left"/>
        <w:pPr>
          <w:tabs>
            <w:tab w:val="num" w:pos="3402"/>
          </w:tabs>
          <w:ind w:left="3402" w:hanging="680"/>
        </w:pPr>
        <w:rPr>
          <w:rFonts w:hint="default"/>
          <w:sz w:val="20"/>
        </w:rPr>
      </w:lvl>
    </w:lvlOverride>
    <w:lvlOverride w:ilvl="6">
      <w:lvl w:ilvl="6">
        <w:start w:val="1"/>
        <w:numFmt w:val="none"/>
        <w:pStyle w:val="Level7"/>
        <w:lvlText w:val=""/>
        <w:lvlJc w:val="left"/>
        <w:pPr>
          <w:tabs>
            <w:tab w:val="num" w:pos="3402"/>
          </w:tabs>
          <w:ind w:left="3402" w:hanging="680"/>
        </w:pPr>
        <w:rPr>
          <w:rFonts w:hint="default"/>
        </w:rPr>
      </w:lvl>
    </w:lvlOverride>
    <w:lvlOverride w:ilvl="7">
      <w:lvl w:ilvl="7">
        <w:start w:val="1"/>
        <w:numFmt w:val="none"/>
        <w:pStyle w:val="Level8"/>
        <w:lvlText w:val=""/>
        <w:lvlJc w:val="left"/>
        <w:pPr>
          <w:tabs>
            <w:tab w:val="num" w:pos="3402"/>
          </w:tabs>
          <w:ind w:left="3402" w:hanging="680"/>
        </w:pPr>
        <w:rPr>
          <w:rFonts w:hint="default"/>
        </w:rPr>
      </w:lvl>
    </w:lvlOverride>
    <w:lvlOverride w:ilvl="8">
      <w:lvl w:ilvl="8">
        <w:start w:val="1"/>
        <w:numFmt w:val="none"/>
        <w:pStyle w:val="Level9"/>
        <w:lvlText w:val=""/>
        <w:lvlJc w:val="left"/>
        <w:pPr>
          <w:tabs>
            <w:tab w:val="num" w:pos="3402"/>
          </w:tabs>
          <w:ind w:left="3402" w:hanging="680"/>
        </w:pPr>
        <w:rPr>
          <w:rFonts w:hint="default"/>
        </w:rPr>
      </w:lvl>
    </w:lvlOverride>
  </w:num>
  <w:num w:numId="168" w16cid:durableId="849221335">
    <w:abstractNumId w:val="15"/>
    <w:lvlOverride w:ilvl="0">
      <w:lvl w:ilvl="0">
        <w:start w:val="1"/>
        <w:numFmt w:val="decimal"/>
        <w:pStyle w:val="Level1"/>
        <w:lvlText w:val="%1"/>
        <w:lvlJc w:val="left"/>
        <w:pPr>
          <w:ind w:left="0" w:firstLine="0"/>
        </w:pPr>
        <w:rPr>
          <w:rFonts w:hint="default"/>
        </w:rPr>
      </w:lvl>
    </w:lvlOverride>
    <w:lvlOverride w:ilvl="1">
      <w:lvl w:ilvl="1">
        <w:start w:val="1"/>
        <w:numFmt w:val="decimal"/>
        <w:pStyle w:val="Level2"/>
        <w:lvlText w:val="%1.%2"/>
        <w:lvlJc w:val="left"/>
        <w:pPr>
          <w:tabs>
            <w:tab w:val="num" w:pos="680"/>
          </w:tabs>
          <w:ind w:left="680" w:hanging="680"/>
        </w:pPr>
        <w:rPr>
          <w:rFonts w:hint="default"/>
          <w:b/>
          <w:i w:val="0"/>
          <w:sz w:val="21"/>
        </w:rPr>
      </w:lvl>
    </w:lvlOverride>
    <w:lvlOverride w:ilvl="2">
      <w:lvl w:ilvl="2">
        <w:start w:val="1"/>
        <w:numFmt w:val="decimal"/>
        <w:pStyle w:val="Level3"/>
        <w:lvlText w:val="%1.%2.%3"/>
        <w:lvlJc w:val="left"/>
        <w:pPr>
          <w:tabs>
            <w:tab w:val="num" w:pos="1361"/>
          </w:tabs>
          <w:ind w:left="1361" w:hanging="681"/>
        </w:pPr>
        <w:rPr>
          <w:rFonts w:hint="default"/>
          <w:b/>
          <w:i w:val="0"/>
          <w:sz w:val="17"/>
        </w:rPr>
      </w:lvl>
    </w:lvlOverride>
    <w:lvlOverride w:ilvl="3">
      <w:lvl w:ilvl="3">
        <w:start w:val="1"/>
        <w:numFmt w:val="lowerRoman"/>
        <w:pStyle w:val="Level4"/>
        <w:lvlText w:val="(%4)"/>
        <w:lvlJc w:val="left"/>
        <w:pPr>
          <w:tabs>
            <w:tab w:val="num" w:pos="2041"/>
          </w:tabs>
          <w:ind w:left="2041" w:hanging="680"/>
        </w:pPr>
        <w:rPr>
          <w:rFonts w:hint="default"/>
          <w:sz w:val="20"/>
        </w:rPr>
      </w:lvl>
    </w:lvlOverride>
    <w:lvlOverride w:ilvl="4">
      <w:lvl w:ilvl="4">
        <w:start w:val="1"/>
        <w:numFmt w:val="lowerLetter"/>
        <w:pStyle w:val="Level5"/>
        <w:lvlText w:val="(%5)"/>
        <w:lvlJc w:val="left"/>
        <w:pPr>
          <w:tabs>
            <w:tab w:val="num" w:pos="2722"/>
          </w:tabs>
          <w:ind w:left="2722" w:hanging="681"/>
        </w:pPr>
        <w:rPr>
          <w:rFonts w:hint="default"/>
          <w:sz w:val="20"/>
        </w:rPr>
      </w:lvl>
    </w:lvlOverride>
    <w:lvlOverride w:ilvl="5">
      <w:lvl w:ilvl="5">
        <w:start w:val="1"/>
        <w:numFmt w:val="upperRoman"/>
        <w:pStyle w:val="Level6"/>
        <w:lvlText w:val="(%6)"/>
        <w:lvlJc w:val="left"/>
        <w:pPr>
          <w:tabs>
            <w:tab w:val="num" w:pos="3402"/>
          </w:tabs>
          <w:ind w:left="3402" w:hanging="680"/>
        </w:pPr>
        <w:rPr>
          <w:rFonts w:hint="default"/>
          <w:sz w:val="20"/>
        </w:rPr>
      </w:lvl>
    </w:lvlOverride>
    <w:lvlOverride w:ilvl="6">
      <w:lvl w:ilvl="6">
        <w:start w:val="1"/>
        <w:numFmt w:val="none"/>
        <w:pStyle w:val="Level7"/>
        <w:lvlText w:val=""/>
        <w:lvlJc w:val="left"/>
        <w:pPr>
          <w:tabs>
            <w:tab w:val="num" w:pos="3402"/>
          </w:tabs>
          <w:ind w:left="3402" w:hanging="680"/>
        </w:pPr>
        <w:rPr>
          <w:rFonts w:hint="default"/>
        </w:rPr>
      </w:lvl>
    </w:lvlOverride>
    <w:lvlOverride w:ilvl="7">
      <w:lvl w:ilvl="7">
        <w:start w:val="1"/>
        <w:numFmt w:val="none"/>
        <w:pStyle w:val="Level8"/>
        <w:lvlText w:val=""/>
        <w:lvlJc w:val="left"/>
        <w:pPr>
          <w:tabs>
            <w:tab w:val="num" w:pos="3402"/>
          </w:tabs>
          <w:ind w:left="3402" w:hanging="680"/>
        </w:pPr>
        <w:rPr>
          <w:rFonts w:hint="default"/>
        </w:rPr>
      </w:lvl>
    </w:lvlOverride>
    <w:lvlOverride w:ilvl="8">
      <w:lvl w:ilvl="8">
        <w:start w:val="1"/>
        <w:numFmt w:val="none"/>
        <w:pStyle w:val="Level9"/>
        <w:lvlText w:val=""/>
        <w:lvlJc w:val="left"/>
        <w:pPr>
          <w:tabs>
            <w:tab w:val="num" w:pos="3402"/>
          </w:tabs>
          <w:ind w:left="3402" w:hanging="680"/>
        </w:pPr>
        <w:rPr>
          <w:rFonts w:hint="default"/>
        </w:rPr>
      </w:lvl>
    </w:lvlOverride>
  </w:num>
  <w:num w:numId="169" w16cid:durableId="39059677">
    <w:abstractNumId w:val="52"/>
  </w:num>
  <w:num w:numId="170" w16cid:durableId="130251923">
    <w:abstractNumId w:val="3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1" w16cid:durableId="335690081">
    <w:abstractNumId w:val="15"/>
    <w:lvlOverride w:ilvl="0">
      <w:lvl w:ilvl="0">
        <w:start w:val="1"/>
        <w:numFmt w:val="decimal"/>
        <w:pStyle w:val="Level1"/>
        <w:lvlText w:val="%1"/>
        <w:lvlJc w:val="left"/>
        <w:pPr>
          <w:ind w:left="0" w:firstLine="0"/>
        </w:pPr>
        <w:rPr>
          <w:rFonts w:hint="default"/>
        </w:rPr>
      </w:lvl>
    </w:lvlOverride>
    <w:lvlOverride w:ilvl="1">
      <w:lvl w:ilvl="1">
        <w:start w:val="1"/>
        <w:numFmt w:val="decimal"/>
        <w:pStyle w:val="Level2"/>
        <w:lvlText w:val="%1.%2"/>
        <w:lvlJc w:val="left"/>
        <w:pPr>
          <w:tabs>
            <w:tab w:val="num" w:pos="680"/>
          </w:tabs>
          <w:ind w:left="680" w:hanging="680"/>
        </w:pPr>
        <w:rPr>
          <w:rFonts w:hint="default"/>
          <w:b/>
          <w:i w:val="0"/>
          <w:sz w:val="21"/>
        </w:rPr>
      </w:lvl>
    </w:lvlOverride>
    <w:lvlOverride w:ilvl="2">
      <w:lvl w:ilvl="2">
        <w:start w:val="1"/>
        <w:numFmt w:val="decimal"/>
        <w:pStyle w:val="Level3"/>
        <w:lvlText w:val="%1.%2.%3"/>
        <w:lvlJc w:val="left"/>
        <w:pPr>
          <w:tabs>
            <w:tab w:val="num" w:pos="1361"/>
          </w:tabs>
          <w:ind w:left="1361" w:hanging="681"/>
        </w:pPr>
        <w:rPr>
          <w:rFonts w:hint="default"/>
          <w:b/>
          <w:i w:val="0"/>
          <w:sz w:val="17"/>
        </w:rPr>
      </w:lvl>
    </w:lvlOverride>
    <w:lvlOverride w:ilvl="3">
      <w:lvl w:ilvl="3">
        <w:start w:val="1"/>
        <w:numFmt w:val="lowerRoman"/>
        <w:pStyle w:val="Level4"/>
        <w:lvlText w:val="(%4)"/>
        <w:lvlJc w:val="left"/>
        <w:pPr>
          <w:tabs>
            <w:tab w:val="num" w:pos="2041"/>
          </w:tabs>
          <w:ind w:left="2041" w:hanging="680"/>
        </w:pPr>
        <w:rPr>
          <w:rFonts w:hint="default"/>
          <w:sz w:val="20"/>
        </w:rPr>
      </w:lvl>
    </w:lvlOverride>
    <w:lvlOverride w:ilvl="4">
      <w:lvl w:ilvl="4">
        <w:start w:val="1"/>
        <w:numFmt w:val="lowerLetter"/>
        <w:pStyle w:val="Level5"/>
        <w:lvlText w:val="(%5)"/>
        <w:lvlJc w:val="left"/>
        <w:pPr>
          <w:tabs>
            <w:tab w:val="num" w:pos="2722"/>
          </w:tabs>
          <w:ind w:left="2722" w:hanging="681"/>
        </w:pPr>
        <w:rPr>
          <w:rFonts w:hint="default"/>
          <w:sz w:val="20"/>
        </w:rPr>
      </w:lvl>
    </w:lvlOverride>
    <w:lvlOverride w:ilvl="5">
      <w:lvl w:ilvl="5">
        <w:start w:val="1"/>
        <w:numFmt w:val="upperRoman"/>
        <w:pStyle w:val="Level6"/>
        <w:lvlText w:val="(%6)"/>
        <w:lvlJc w:val="left"/>
        <w:pPr>
          <w:tabs>
            <w:tab w:val="num" w:pos="3402"/>
          </w:tabs>
          <w:ind w:left="3402" w:hanging="680"/>
        </w:pPr>
        <w:rPr>
          <w:rFonts w:hint="default"/>
          <w:sz w:val="20"/>
        </w:rPr>
      </w:lvl>
    </w:lvlOverride>
    <w:lvlOverride w:ilvl="6">
      <w:lvl w:ilvl="6">
        <w:start w:val="1"/>
        <w:numFmt w:val="none"/>
        <w:pStyle w:val="Level7"/>
        <w:lvlText w:val=""/>
        <w:lvlJc w:val="left"/>
        <w:pPr>
          <w:tabs>
            <w:tab w:val="num" w:pos="3402"/>
          </w:tabs>
          <w:ind w:left="3402" w:hanging="680"/>
        </w:pPr>
        <w:rPr>
          <w:rFonts w:hint="default"/>
        </w:rPr>
      </w:lvl>
    </w:lvlOverride>
    <w:lvlOverride w:ilvl="7">
      <w:lvl w:ilvl="7">
        <w:start w:val="1"/>
        <w:numFmt w:val="none"/>
        <w:pStyle w:val="Level8"/>
        <w:lvlText w:val=""/>
        <w:lvlJc w:val="left"/>
        <w:pPr>
          <w:tabs>
            <w:tab w:val="num" w:pos="3402"/>
          </w:tabs>
          <w:ind w:left="3402" w:hanging="680"/>
        </w:pPr>
        <w:rPr>
          <w:rFonts w:hint="default"/>
        </w:rPr>
      </w:lvl>
    </w:lvlOverride>
    <w:lvlOverride w:ilvl="8">
      <w:lvl w:ilvl="8">
        <w:start w:val="1"/>
        <w:numFmt w:val="none"/>
        <w:pStyle w:val="Level9"/>
        <w:lvlText w:val=""/>
        <w:lvlJc w:val="left"/>
        <w:pPr>
          <w:tabs>
            <w:tab w:val="num" w:pos="3402"/>
          </w:tabs>
          <w:ind w:left="3402" w:hanging="680"/>
        </w:pPr>
        <w:rPr>
          <w:rFonts w:hint="default"/>
        </w:rPr>
      </w:lvl>
    </w:lvlOverride>
  </w:num>
  <w:num w:numId="172" w16cid:durableId="1361083493">
    <w:abstractNumId w:val="12"/>
  </w:num>
  <w:num w:numId="173" w16cid:durableId="140269392">
    <w:abstractNumId w:val="12"/>
  </w:num>
  <w:num w:numId="174" w16cid:durableId="1920022096">
    <w:abstractNumId w:val="12"/>
  </w:num>
  <w:num w:numId="175" w16cid:durableId="320961161">
    <w:abstractNumId w:val="12"/>
  </w:num>
  <w:num w:numId="176" w16cid:durableId="554319167">
    <w:abstractNumId w:val="12"/>
  </w:num>
  <w:num w:numId="177" w16cid:durableId="889804711">
    <w:abstractNumId w:val="12"/>
  </w:num>
  <w:num w:numId="178" w16cid:durableId="269707912">
    <w:abstractNumId w:val="12"/>
  </w:num>
  <w:num w:numId="179" w16cid:durableId="2004039191">
    <w:abstractNumId w:val="12"/>
  </w:num>
  <w:num w:numId="180" w16cid:durableId="1533230385">
    <w:abstractNumId w:val="15"/>
    <w:lvlOverride w:ilvl="0">
      <w:lvl w:ilvl="0">
        <w:start w:val="1"/>
        <w:numFmt w:val="decimal"/>
        <w:pStyle w:val="Level1"/>
        <w:lvlText w:val="%1"/>
        <w:lvlJc w:val="left"/>
        <w:pPr>
          <w:ind w:left="0" w:firstLine="0"/>
        </w:pPr>
        <w:rPr>
          <w:rFonts w:hint="default"/>
        </w:rPr>
      </w:lvl>
    </w:lvlOverride>
    <w:lvlOverride w:ilvl="1">
      <w:lvl w:ilvl="1">
        <w:start w:val="1"/>
        <w:numFmt w:val="decimal"/>
        <w:pStyle w:val="Level2"/>
        <w:lvlText w:val="%1.%2"/>
        <w:lvlJc w:val="left"/>
        <w:pPr>
          <w:tabs>
            <w:tab w:val="num" w:pos="680"/>
          </w:tabs>
          <w:ind w:left="680" w:hanging="680"/>
        </w:pPr>
        <w:rPr>
          <w:rFonts w:hint="default"/>
          <w:b/>
          <w:i w:val="0"/>
          <w:sz w:val="21"/>
        </w:rPr>
      </w:lvl>
    </w:lvlOverride>
    <w:lvlOverride w:ilvl="2">
      <w:lvl w:ilvl="2">
        <w:start w:val="1"/>
        <w:numFmt w:val="decimal"/>
        <w:pStyle w:val="Level3"/>
        <w:lvlText w:val="%1.%2.%3"/>
        <w:lvlJc w:val="left"/>
        <w:pPr>
          <w:tabs>
            <w:tab w:val="num" w:pos="1361"/>
          </w:tabs>
          <w:ind w:left="1361" w:hanging="681"/>
        </w:pPr>
        <w:rPr>
          <w:rFonts w:hint="default"/>
          <w:b/>
          <w:i w:val="0"/>
          <w:sz w:val="17"/>
        </w:rPr>
      </w:lvl>
    </w:lvlOverride>
    <w:lvlOverride w:ilvl="3">
      <w:lvl w:ilvl="3">
        <w:start w:val="1"/>
        <w:numFmt w:val="lowerRoman"/>
        <w:pStyle w:val="Level4"/>
        <w:lvlText w:val="(%4)"/>
        <w:lvlJc w:val="left"/>
        <w:pPr>
          <w:tabs>
            <w:tab w:val="num" w:pos="2041"/>
          </w:tabs>
          <w:ind w:left="2041" w:hanging="680"/>
        </w:pPr>
        <w:rPr>
          <w:rFonts w:hint="default"/>
          <w:sz w:val="20"/>
        </w:rPr>
      </w:lvl>
    </w:lvlOverride>
    <w:lvlOverride w:ilvl="4">
      <w:lvl w:ilvl="4">
        <w:start w:val="1"/>
        <w:numFmt w:val="lowerLetter"/>
        <w:pStyle w:val="Level5"/>
        <w:lvlText w:val="(%5)"/>
        <w:lvlJc w:val="left"/>
        <w:pPr>
          <w:tabs>
            <w:tab w:val="num" w:pos="2722"/>
          </w:tabs>
          <w:ind w:left="2722" w:hanging="681"/>
        </w:pPr>
        <w:rPr>
          <w:rFonts w:hint="default"/>
          <w:sz w:val="20"/>
        </w:rPr>
      </w:lvl>
    </w:lvlOverride>
    <w:lvlOverride w:ilvl="5">
      <w:lvl w:ilvl="5">
        <w:start w:val="1"/>
        <w:numFmt w:val="upperRoman"/>
        <w:pStyle w:val="Level6"/>
        <w:lvlText w:val="(%6)"/>
        <w:lvlJc w:val="left"/>
        <w:pPr>
          <w:tabs>
            <w:tab w:val="num" w:pos="3402"/>
          </w:tabs>
          <w:ind w:left="3402" w:hanging="680"/>
        </w:pPr>
        <w:rPr>
          <w:rFonts w:hint="default"/>
          <w:sz w:val="20"/>
        </w:rPr>
      </w:lvl>
    </w:lvlOverride>
    <w:lvlOverride w:ilvl="6">
      <w:lvl w:ilvl="6">
        <w:start w:val="1"/>
        <w:numFmt w:val="none"/>
        <w:pStyle w:val="Level7"/>
        <w:lvlText w:val=""/>
        <w:lvlJc w:val="left"/>
        <w:pPr>
          <w:tabs>
            <w:tab w:val="num" w:pos="3402"/>
          </w:tabs>
          <w:ind w:left="3402" w:hanging="680"/>
        </w:pPr>
        <w:rPr>
          <w:rFonts w:hint="default"/>
        </w:rPr>
      </w:lvl>
    </w:lvlOverride>
    <w:lvlOverride w:ilvl="7">
      <w:lvl w:ilvl="7">
        <w:start w:val="1"/>
        <w:numFmt w:val="none"/>
        <w:pStyle w:val="Level8"/>
        <w:lvlText w:val=""/>
        <w:lvlJc w:val="left"/>
        <w:pPr>
          <w:tabs>
            <w:tab w:val="num" w:pos="3402"/>
          </w:tabs>
          <w:ind w:left="3402" w:hanging="680"/>
        </w:pPr>
        <w:rPr>
          <w:rFonts w:hint="default"/>
        </w:rPr>
      </w:lvl>
    </w:lvlOverride>
    <w:lvlOverride w:ilvl="8">
      <w:lvl w:ilvl="8">
        <w:start w:val="1"/>
        <w:numFmt w:val="none"/>
        <w:pStyle w:val="Level9"/>
        <w:lvlText w:val=""/>
        <w:lvlJc w:val="left"/>
        <w:pPr>
          <w:tabs>
            <w:tab w:val="num" w:pos="3402"/>
          </w:tabs>
          <w:ind w:left="3402" w:hanging="680"/>
        </w:pPr>
        <w:rPr>
          <w:rFonts w:hint="default"/>
        </w:rPr>
      </w:lvl>
    </w:lvlOverride>
  </w:num>
  <w:num w:numId="181" w16cid:durableId="203955484">
    <w:abstractNumId w:val="15"/>
    <w:lvlOverride w:ilvl="0">
      <w:lvl w:ilvl="0">
        <w:start w:val="1"/>
        <w:numFmt w:val="decimal"/>
        <w:pStyle w:val="Level1"/>
        <w:lvlText w:val="%1"/>
        <w:lvlJc w:val="left"/>
        <w:pPr>
          <w:ind w:left="0" w:firstLine="0"/>
        </w:pPr>
        <w:rPr>
          <w:rFonts w:hint="default"/>
        </w:rPr>
      </w:lvl>
    </w:lvlOverride>
    <w:lvlOverride w:ilvl="1">
      <w:lvl w:ilvl="1">
        <w:start w:val="1"/>
        <w:numFmt w:val="decimal"/>
        <w:pStyle w:val="Level2"/>
        <w:lvlText w:val="%1.%2"/>
        <w:lvlJc w:val="left"/>
        <w:pPr>
          <w:tabs>
            <w:tab w:val="num" w:pos="680"/>
          </w:tabs>
          <w:ind w:left="680" w:hanging="680"/>
        </w:pPr>
        <w:rPr>
          <w:rFonts w:hint="default"/>
          <w:b/>
          <w:i w:val="0"/>
          <w:sz w:val="21"/>
        </w:rPr>
      </w:lvl>
    </w:lvlOverride>
    <w:lvlOverride w:ilvl="2">
      <w:lvl w:ilvl="2">
        <w:start w:val="1"/>
        <w:numFmt w:val="decimal"/>
        <w:pStyle w:val="Level3"/>
        <w:lvlText w:val="%1.%2.%3"/>
        <w:lvlJc w:val="left"/>
        <w:pPr>
          <w:tabs>
            <w:tab w:val="num" w:pos="1361"/>
          </w:tabs>
          <w:ind w:left="1361" w:hanging="681"/>
        </w:pPr>
        <w:rPr>
          <w:rFonts w:hint="default"/>
          <w:b/>
          <w:i w:val="0"/>
          <w:sz w:val="17"/>
        </w:rPr>
      </w:lvl>
    </w:lvlOverride>
    <w:lvlOverride w:ilvl="3">
      <w:lvl w:ilvl="3">
        <w:start w:val="1"/>
        <w:numFmt w:val="lowerRoman"/>
        <w:pStyle w:val="Level4"/>
        <w:lvlText w:val="(%4)"/>
        <w:lvlJc w:val="left"/>
        <w:pPr>
          <w:tabs>
            <w:tab w:val="num" w:pos="2041"/>
          </w:tabs>
          <w:ind w:left="2041" w:hanging="680"/>
        </w:pPr>
        <w:rPr>
          <w:rFonts w:hint="default"/>
          <w:sz w:val="20"/>
        </w:rPr>
      </w:lvl>
    </w:lvlOverride>
    <w:lvlOverride w:ilvl="4">
      <w:lvl w:ilvl="4">
        <w:start w:val="1"/>
        <w:numFmt w:val="lowerLetter"/>
        <w:pStyle w:val="Level5"/>
        <w:lvlText w:val="(%5)"/>
        <w:lvlJc w:val="left"/>
        <w:pPr>
          <w:tabs>
            <w:tab w:val="num" w:pos="2722"/>
          </w:tabs>
          <w:ind w:left="2722" w:hanging="681"/>
        </w:pPr>
        <w:rPr>
          <w:rFonts w:hint="default"/>
          <w:sz w:val="20"/>
        </w:rPr>
      </w:lvl>
    </w:lvlOverride>
    <w:lvlOverride w:ilvl="5">
      <w:lvl w:ilvl="5">
        <w:start w:val="1"/>
        <w:numFmt w:val="upperRoman"/>
        <w:pStyle w:val="Level6"/>
        <w:lvlText w:val="(%6)"/>
        <w:lvlJc w:val="left"/>
        <w:pPr>
          <w:tabs>
            <w:tab w:val="num" w:pos="3402"/>
          </w:tabs>
          <w:ind w:left="3402" w:hanging="680"/>
        </w:pPr>
        <w:rPr>
          <w:rFonts w:hint="default"/>
          <w:sz w:val="20"/>
        </w:rPr>
      </w:lvl>
    </w:lvlOverride>
    <w:lvlOverride w:ilvl="6">
      <w:lvl w:ilvl="6">
        <w:start w:val="1"/>
        <w:numFmt w:val="none"/>
        <w:pStyle w:val="Level7"/>
        <w:lvlText w:val=""/>
        <w:lvlJc w:val="left"/>
        <w:pPr>
          <w:tabs>
            <w:tab w:val="num" w:pos="3402"/>
          </w:tabs>
          <w:ind w:left="3402" w:hanging="680"/>
        </w:pPr>
        <w:rPr>
          <w:rFonts w:hint="default"/>
        </w:rPr>
      </w:lvl>
    </w:lvlOverride>
    <w:lvlOverride w:ilvl="7">
      <w:lvl w:ilvl="7">
        <w:start w:val="1"/>
        <w:numFmt w:val="none"/>
        <w:pStyle w:val="Level8"/>
        <w:lvlText w:val=""/>
        <w:lvlJc w:val="left"/>
        <w:pPr>
          <w:tabs>
            <w:tab w:val="num" w:pos="3402"/>
          </w:tabs>
          <w:ind w:left="3402" w:hanging="680"/>
        </w:pPr>
        <w:rPr>
          <w:rFonts w:hint="default"/>
        </w:rPr>
      </w:lvl>
    </w:lvlOverride>
    <w:lvlOverride w:ilvl="8">
      <w:lvl w:ilvl="8">
        <w:start w:val="1"/>
        <w:numFmt w:val="none"/>
        <w:pStyle w:val="Level9"/>
        <w:lvlText w:val=""/>
        <w:lvlJc w:val="left"/>
        <w:pPr>
          <w:tabs>
            <w:tab w:val="num" w:pos="3402"/>
          </w:tabs>
          <w:ind w:left="3402" w:hanging="680"/>
        </w:pPr>
        <w:rPr>
          <w:rFonts w:hint="default"/>
        </w:rPr>
      </w:lvl>
    </w:lvlOverride>
  </w:num>
  <w:num w:numId="182" w16cid:durableId="1670913268">
    <w:abstractNumId w:val="15"/>
    <w:lvlOverride w:ilvl="0">
      <w:lvl w:ilvl="0">
        <w:start w:val="1"/>
        <w:numFmt w:val="decimal"/>
        <w:pStyle w:val="Level1"/>
        <w:lvlText w:val="%1"/>
        <w:lvlJc w:val="left"/>
        <w:pPr>
          <w:ind w:left="0" w:firstLine="0"/>
        </w:pPr>
        <w:rPr>
          <w:rFonts w:hint="default"/>
        </w:rPr>
      </w:lvl>
    </w:lvlOverride>
    <w:lvlOverride w:ilvl="1">
      <w:lvl w:ilvl="1">
        <w:start w:val="1"/>
        <w:numFmt w:val="decimal"/>
        <w:pStyle w:val="Level2"/>
        <w:lvlText w:val="%1.%2"/>
        <w:lvlJc w:val="left"/>
        <w:pPr>
          <w:tabs>
            <w:tab w:val="num" w:pos="680"/>
          </w:tabs>
          <w:ind w:left="680" w:hanging="680"/>
        </w:pPr>
        <w:rPr>
          <w:rFonts w:hint="default"/>
          <w:b/>
          <w:i w:val="0"/>
          <w:sz w:val="21"/>
        </w:rPr>
      </w:lvl>
    </w:lvlOverride>
    <w:lvlOverride w:ilvl="2">
      <w:lvl w:ilvl="2">
        <w:start w:val="1"/>
        <w:numFmt w:val="decimal"/>
        <w:pStyle w:val="Level3"/>
        <w:lvlText w:val="%1.%2.%3"/>
        <w:lvlJc w:val="left"/>
        <w:pPr>
          <w:tabs>
            <w:tab w:val="num" w:pos="1361"/>
          </w:tabs>
          <w:ind w:left="1361" w:hanging="681"/>
        </w:pPr>
        <w:rPr>
          <w:rFonts w:hint="default"/>
          <w:b/>
          <w:i w:val="0"/>
          <w:sz w:val="17"/>
        </w:rPr>
      </w:lvl>
    </w:lvlOverride>
    <w:lvlOverride w:ilvl="3">
      <w:lvl w:ilvl="3">
        <w:start w:val="1"/>
        <w:numFmt w:val="lowerRoman"/>
        <w:pStyle w:val="Level4"/>
        <w:lvlText w:val="(%4)"/>
        <w:lvlJc w:val="left"/>
        <w:pPr>
          <w:tabs>
            <w:tab w:val="num" w:pos="2041"/>
          </w:tabs>
          <w:ind w:left="2041" w:hanging="680"/>
        </w:pPr>
        <w:rPr>
          <w:rFonts w:hint="default"/>
          <w:sz w:val="20"/>
        </w:rPr>
      </w:lvl>
    </w:lvlOverride>
    <w:lvlOverride w:ilvl="4">
      <w:lvl w:ilvl="4">
        <w:start w:val="1"/>
        <w:numFmt w:val="lowerLetter"/>
        <w:pStyle w:val="Level5"/>
        <w:lvlText w:val="(%5)"/>
        <w:lvlJc w:val="left"/>
        <w:pPr>
          <w:tabs>
            <w:tab w:val="num" w:pos="2722"/>
          </w:tabs>
          <w:ind w:left="2722" w:hanging="681"/>
        </w:pPr>
        <w:rPr>
          <w:rFonts w:hint="default"/>
          <w:sz w:val="20"/>
        </w:rPr>
      </w:lvl>
    </w:lvlOverride>
    <w:lvlOverride w:ilvl="5">
      <w:lvl w:ilvl="5">
        <w:start w:val="1"/>
        <w:numFmt w:val="upperRoman"/>
        <w:pStyle w:val="Level6"/>
        <w:lvlText w:val="(%6)"/>
        <w:lvlJc w:val="left"/>
        <w:pPr>
          <w:tabs>
            <w:tab w:val="num" w:pos="3402"/>
          </w:tabs>
          <w:ind w:left="3402" w:hanging="680"/>
        </w:pPr>
        <w:rPr>
          <w:rFonts w:hint="default"/>
          <w:sz w:val="20"/>
        </w:rPr>
      </w:lvl>
    </w:lvlOverride>
    <w:lvlOverride w:ilvl="6">
      <w:lvl w:ilvl="6">
        <w:start w:val="1"/>
        <w:numFmt w:val="none"/>
        <w:pStyle w:val="Level7"/>
        <w:lvlText w:val=""/>
        <w:lvlJc w:val="left"/>
        <w:pPr>
          <w:tabs>
            <w:tab w:val="num" w:pos="3402"/>
          </w:tabs>
          <w:ind w:left="3402" w:hanging="680"/>
        </w:pPr>
        <w:rPr>
          <w:rFonts w:hint="default"/>
        </w:rPr>
      </w:lvl>
    </w:lvlOverride>
    <w:lvlOverride w:ilvl="7">
      <w:lvl w:ilvl="7">
        <w:start w:val="1"/>
        <w:numFmt w:val="none"/>
        <w:pStyle w:val="Level8"/>
        <w:lvlText w:val=""/>
        <w:lvlJc w:val="left"/>
        <w:pPr>
          <w:tabs>
            <w:tab w:val="num" w:pos="3402"/>
          </w:tabs>
          <w:ind w:left="3402" w:hanging="680"/>
        </w:pPr>
        <w:rPr>
          <w:rFonts w:hint="default"/>
        </w:rPr>
      </w:lvl>
    </w:lvlOverride>
    <w:lvlOverride w:ilvl="8">
      <w:lvl w:ilvl="8">
        <w:start w:val="1"/>
        <w:numFmt w:val="none"/>
        <w:pStyle w:val="Level9"/>
        <w:lvlText w:val=""/>
        <w:lvlJc w:val="left"/>
        <w:pPr>
          <w:tabs>
            <w:tab w:val="num" w:pos="3402"/>
          </w:tabs>
          <w:ind w:left="3402" w:hanging="680"/>
        </w:pPr>
        <w:rPr>
          <w:rFonts w:hint="default"/>
        </w:rPr>
      </w:lvl>
    </w:lvlOverride>
  </w:num>
  <w:num w:numId="183" w16cid:durableId="1766150022">
    <w:abstractNumId w:val="15"/>
    <w:lvlOverride w:ilvl="0">
      <w:lvl w:ilvl="0">
        <w:start w:val="1"/>
        <w:numFmt w:val="decimal"/>
        <w:pStyle w:val="Level1"/>
        <w:lvlText w:val="%1"/>
        <w:lvlJc w:val="left"/>
        <w:pPr>
          <w:ind w:left="0" w:firstLine="0"/>
        </w:pPr>
        <w:rPr>
          <w:rFonts w:hint="default"/>
        </w:rPr>
      </w:lvl>
    </w:lvlOverride>
    <w:lvlOverride w:ilvl="1">
      <w:lvl w:ilvl="1">
        <w:start w:val="1"/>
        <w:numFmt w:val="decimal"/>
        <w:pStyle w:val="Level2"/>
        <w:lvlText w:val="%1.%2"/>
        <w:lvlJc w:val="left"/>
        <w:pPr>
          <w:tabs>
            <w:tab w:val="num" w:pos="680"/>
          </w:tabs>
          <w:ind w:left="680" w:hanging="680"/>
        </w:pPr>
        <w:rPr>
          <w:rFonts w:hint="default"/>
          <w:b/>
          <w:i w:val="0"/>
          <w:sz w:val="21"/>
        </w:rPr>
      </w:lvl>
    </w:lvlOverride>
    <w:lvlOverride w:ilvl="2">
      <w:lvl w:ilvl="2">
        <w:start w:val="1"/>
        <w:numFmt w:val="decimal"/>
        <w:pStyle w:val="Level3"/>
        <w:lvlText w:val="%1.%2.%3"/>
        <w:lvlJc w:val="left"/>
        <w:pPr>
          <w:tabs>
            <w:tab w:val="num" w:pos="1361"/>
          </w:tabs>
          <w:ind w:left="1361" w:hanging="681"/>
        </w:pPr>
        <w:rPr>
          <w:rFonts w:hint="default"/>
          <w:b/>
          <w:i w:val="0"/>
          <w:sz w:val="17"/>
        </w:rPr>
      </w:lvl>
    </w:lvlOverride>
    <w:lvlOverride w:ilvl="3">
      <w:lvl w:ilvl="3">
        <w:start w:val="1"/>
        <w:numFmt w:val="lowerRoman"/>
        <w:pStyle w:val="Level4"/>
        <w:lvlText w:val="(%4)"/>
        <w:lvlJc w:val="left"/>
        <w:pPr>
          <w:tabs>
            <w:tab w:val="num" w:pos="2041"/>
          </w:tabs>
          <w:ind w:left="2041" w:hanging="680"/>
        </w:pPr>
        <w:rPr>
          <w:rFonts w:hint="default"/>
          <w:sz w:val="20"/>
        </w:rPr>
      </w:lvl>
    </w:lvlOverride>
    <w:lvlOverride w:ilvl="4">
      <w:lvl w:ilvl="4">
        <w:start w:val="1"/>
        <w:numFmt w:val="lowerLetter"/>
        <w:pStyle w:val="Level5"/>
        <w:lvlText w:val="(%5)"/>
        <w:lvlJc w:val="left"/>
        <w:pPr>
          <w:tabs>
            <w:tab w:val="num" w:pos="2722"/>
          </w:tabs>
          <w:ind w:left="2722" w:hanging="681"/>
        </w:pPr>
        <w:rPr>
          <w:rFonts w:hint="default"/>
          <w:sz w:val="20"/>
        </w:rPr>
      </w:lvl>
    </w:lvlOverride>
    <w:lvlOverride w:ilvl="5">
      <w:lvl w:ilvl="5">
        <w:start w:val="1"/>
        <w:numFmt w:val="upperRoman"/>
        <w:pStyle w:val="Level6"/>
        <w:lvlText w:val="(%6)"/>
        <w:lvlJc w:val="left"/>
        <w:pPr>
          <w:tabs>
            <w:tab w:val="num" w:pos="3402"/>
          </w:tabs>
          <w:ind w:left="3402" w:hanging="680"/>
        </w:pPr>
        <w:rPr>
          <w:rFonts w:hint="default"/>
          <w:sz w:val="20"/>
        </w:rPr>
      </w:lvl>
    </w:lvlOverride>
    <w:lvlOverride w:ilvl="6">
      <w:lvl w:ilvl="6">
        <w:start w:val="1"/>
        <w:numFmt w:val="none"/>
        <w:pStyle w:val="Level7"/>
        <w:lvlText w:val=""/>
        <w:lvlJc w:val="left"/>
        <w:pPr>
          <w:tabs>
            <w:tab w:val="num" w:pos="3402"/>
          </w:tabs>
          <w:ind w:left="3402" w:hanging="680"/>
        </w:pPr>
        <w:rPr>
          <w:rFonts w:hint="default"/>
        </w:rPr>
      </w:lvl>
    </w:lvlOverride>
    <w:lvlOverride w:ilvl="7">
      <w:lvl w:ilvl="7">
        <w:start w:val="1"/>
        <w:numFmt w:val="none"/>
        <w:pStyle w:val="Level8"/>
        <w:lvlText w:val=""/>
        <w:lvlJc w:val="left"/>
        <w:pPr>
          <w:tabs>
            <w:tab w:val="num" w:pos="3402"/>
          </w:tabs>
          <w:ind w:left="3402" w:hanging="680"/>
        </w:pPr>
        <w:rPr>
          <w:rFonts w:hint="default"/>
        </w:rPr>
      </w:lvl>
    </w:lvlOverride>
    <w:lvlOverride w:ilvl="8">
      <w:lvl w:ilvl="8">
        <w:start w:val="1"/>
        <w:numFmt w:val="none"/>
        <w:pStyle w:val="Level9"/>
        <w:lvlText w:val=""/>
        <w:lvlJc w:val="left"/>
        <w:pPr>
          <w:tabs>
            <w:tab w:val="num" w:pos="3402"/>
          </w:tabs>
          <w:ind w:left="3402" w:hanging="680"/>
        </w:pPr>
        <w:rPr>
          <w:rFonts w:hint="default"/>
        </w:rPr>
      </w:lvl>
    </w:lvlOverride>
  </w:num>
  <w:num w:numId="184" w16cid:durableId="1151022689">
    <w:abstractNumId w:val="15"/>
    <w:lvlOverride w:ilvl="0">
      <w:lvl w:ilvl="0">
        <w:start w:val="1"/>
        <w:numFmt w:val="decimal"/>
        <w:pStyle w:val="Level1"/>
        <w:lvlText w:val="%1"/>
        <w:lvlJc w:val="left"/>
        <w:pPr>
          <w:tabs>
            <w:tab w:val="num" w:pos="680"/>
          </w:tabs>
          <w:ind w:left="680" w:hanging="680"/>
        </w:pPr>
        <w:rPr>
          <w:rFonts w:hAnsi="Arial" w:cs="Times New Roman" w:hint="default"/>
          <w:b/>
          <w:i w:val="0"/>
          <w:sz w:val="22"/>
        </w:rPr>
      </w:lvl>
    </w:lvlOverride>
    <w:lvlOverride w:ilvl="1">
      <w:lvl w:ilvl="1">
        <w:start w:val="1"/>
        <w:numFmt w:val="decimal"/>
        <w:pStyle w:val="Level2"/>
        <w:lvlText w:val="%1.%2"/>
        <w:lvlJc w:val="left"/>
        <w:pPr>
          <w:tabs>
            <w:tab w:val="num" w:pos="680"/>
          </w:tabs>
          <w:ind w:left="680" w:hanging="680"/>
        </w:pPr>
        <w:rPr>
          <w:rFonts w:hint="default"/>
          <w:b/>
          <w:i w:val="0"/>
          <w:sz w:val="21"/>
        </w:rPr>
      </w:lvl>
    </w:lvlOverride>
    <w:lvlOverride w:ilvl="2">
      <w:lvl w:ilvl="2">
        <w:start w:val="1"/>
        <w:numFmt w:val="decimal"/>
        <w:pStyle w:val="Level3"/>
        <w:lvlText w:val="%1.%2.%3"/>
        <w:lvlJc w:val="left"/>
        <w:pPr>
          <w:tabs>
            <w:tab w:val="num" w:pos="1361"/>
          </w:tabs>
          <w:ind w:left="1361" w:hanging="681"/>
        </w:pPr>
        <w:rPr>
          <w:rFonts w:hint="default"/>
          <w:b/>
          <w:i w:val="0"/>
          <w:sz w:val="17"/>
        </w:rPr>
      </w:lvl>
    </w:lvlOverride>
    <w:lvlOverride w:ilvl="3">
      <w:lvl w:ilvl="3">
        <w:start w:val="1"/>
        <w:numFmt w:val="lowerRoman"/>
        <w:pStyle w:val="Level4"/>
        <w:lvlText w:val="(%4)"/>
        <w:lvlJc w:val="left"/>
        <w:pPr>
          <w:tabs>
            <w:tab w:val="num" w:pos="2041"/>
          </w:tabs>
          <w:ind w:left="2041" w:hanging="680"/>
        </w:pPr>
        <w:rPr>
          <w:rFonts w:hint="default"/>
          <w:sz w:val="20"/>
        </w:rPr>
      </w:lvl>
    </w:lvlOverride>
    <w:lvlOverride w:ilvl="4">
      <w:lvl w:ilvl="4">
        <w:start w:val="1"/>
        <w:numFmt w:val="lowerLetter"/>
        <w:pStyle w:val="Level5"/>
        <w:lvlText w:val="(%5)"/>
        <w:lvlJc w:val="left"/>
        <w:pPr>
          <w:tabs>
            <w:tab w:val="num" w:pos="2722"/>
          </w:tabs>
          <w:ind w:left="2722" w:hanging="681"/>
        </w:pPr>
        <w:rPr>
          <w:rFonts w:hint="default"/>
          <w:sz w:val="20"/>
        </w:rPr>
      </w:lvl>
    </w:lvlOverride>
    <w:lvlOverride w:ilvl="5">
      <w:lvl w:ilvl="5">
        <w:start w:val="1"/>
        <w:numFmt w:val="upperRoman"/>
        <w:pStyle w:val="Level6"/>
        <w:lvlText w:val="(%6)"/>
        <w:lvlJc w:val="left"/>
        <w:pPr>
          <w:tabs>
            <w:tab w:val="num" w:pos="3402"/>
          </w:tabs>
          <w:ind w:left="3402" w:hanging="680"/>
        </w:pPr>
        <w:rPr>
          <w:rFonts w:hint="default"/>
          <w:sz w:val="20"/>
        </w:rPr>
      </w:lvl>
    </w:lvlOverride>
    <w:lvlOverride w:ilvl="6">
      <w:lvl w:ilvl="6">
        <w:start w:val="1"/>
        <w:numFmt w:val="none"/>
        <w:pStyle w:val="Level7"/>
        <w:lvlText w:val=""/>
        <w:lvlJc w:val="left"/>
        <w:pPr>
          <w:tabs>
            <w:tab w:val="num" w:pos="3402"/>
          </w:tabs>
          <w:ind w:left="3402" w:hanging="680"/>
        </w:pPr>
        <w:rPr>
          <w:rFonts w:hint="default"/>
        </w:rPr>
      </w:lvl>
    </w:lvlOverride>
    <w:lvlOverride w:ilvl="7">
      <w:lvl w:ilvl="7">
        <w:start w:val="1"/>
        <w:numFmt w:val="none"/>
        <w:pStyle w:val="Level8"/>
        <w:lvlText w:val=""/>
        <w:lvlJc w:val="left"/>
        <w:pPr>
          <w:tabs>
            <w:tab w:val="num" w:pos="3402"/>
          </w:tabs>
          <w:ind w:left="3402" w:hanging="680"/>
        </w:pPr>
        <w:rPr>
          <w:rFonts w:hint="default"/>
        </w:rPr>
      </w:lvl>
    </w:lvlOverride>
    <w:lvlOverride w:ilvl="8">
      <w:lvl w:ilvl="8">
        <w:start w:val="1"/>
        <w:numFmt w:val="none"/>
        <w:pStyle w:val="Level9"/>
        <w:lvlText w:val=""/>
        <w:lvlJc w:val="left"/>
        <w:pPr>
          <w:tabs>
            <w:tab w:val="num" w:pos="3402"/>
          </w:tabs>
          <w:ind w:left="3402" w:hanging="680"/>
        </w:pPr>
        <w:rPr>
          <w:rFonts w:hint="default"/>
        </w:rPr>
      </w:lvl>
    </w:lvlOverride>
  </w:num>
  <w:num w:numId="185" w16cid:durableId="992754049">
    <w:abstractNumId w:val="45"/>
  </w:num>
  <w:num w:numId="186" w16cid:durableId="1350259031">
    <w:abstractNumId w:val="45"/>
  </w:num>
  <w:num w:numId="187" w16cid:durableId="962807864">
    <w:abstractNumId w:val="12"/>
  </w:num>
  <w:num w:numId="188" w16cid:durableId="1323268148">
    <w:abstractNumId w:val="12"/>
  </w:num>
  <w:num w:numId="189" w16cid:durableId="921526838">
    <w:abstractNumId w:val="12"/>
  </w:num>
  <w:num w:numId="190" w16cid:durableId="1642229587">
    <w:abstractNumId w:val="12"/>
  </w:num>
  <w:num w:numId="191" w16cid:durableId="630207997">
    <w:abstractNumId w:val="17"/>
  </w:num>
  <w:num w:numId="192" w16cid:durableId="24450098">
    <w:abstractNumId w:val="17"/>
  </w:num>
  <w:num w:numId="193" w16cid:durableId="459956873">
    <w:abstractNumId w:val="17"/>
  </w:num>
  <w:num w:numId="194" w16cid:durableId="1995571734">
    <w:abstractNumId w:val="17"/>
  </w:num>
  <w:num w:numId="195" w16cid:durableId="25829556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6" w16cid:durableId="1915240253">
    <w:abstractNumId w:val="17"/>
  </w:num>
  <w:num w:numId="197" w16cid:durableId="297691003">
    <w:abstractNumId w:val="15"/>
    <w:lvlOverride w:ilvl="0">
      <w:lvl w:ilvl="0">
        <w:start w:val="1"/>
        <w:numFmt w:val="decimal"/>
        <w:pStyle w:val="Level1"/>
        <w:lvlText w:val="%1"/>
        <w:lvlJc w:val="left"/>
        <w:pPr>
          <w:tabs>
            <w:tab w:val="num" w:pos="680"/>
          </w:tabs>
          <w:ind w:left="680" w:hanging="680"/>
        </w:pPr>
        <w:rPr>
          <w:rFonts w:hAnsi="Arial" w:cs="Times New Roman" w:hint="default"/>
          <w:b/>
          <w:i w:val="0"/>
          <w:sz w:val="22"/>
        </w:rPr>
      </w:lvl>
    </w:lvlOverride>
    <w:lvlOverride w:ilvl="1">
      <w:lvl w:ilvl="1">
        <w:start w:val="1"/>
        <w:numFmt w:val="decimal"/>
        <w:pStyle w:val="Level2"/>
        <w:lvlText w:val="%1.%2"/>
        <w:lvlJc w:val="left"/>
        <w:pPr>
          <w:tabs>
            <w:tab w:val="num" w:pos="680"/>
          </w:tabs>
          <w:ind w:left="680" w:hanging="680"/>
        </w:pPr>
        <w:rPr>
          <w:rFonts w:hint="default"/>
          <w:b/>
          <w:i w:val="0"/>
          <w:sz w:val="21"/>
        </w:rPr>
      </w:lvl>
    </w:lvlOverride>
    <w:lvlOverride w:ilvl="2">
      <w:lvl w:ilvl="2">
        <w:start w:val="1"/>
        <w:numFmt w:val="decimal"/>
        <w:pStyle w:val="Level3"/>
        <w:lvlText w:val="%1.%2.%3"/>
        <w:lvlJc w:val="left"/>
        <w:pPr>
          <w:tabs>
            <w:tab w:val="num" w:pos="1361"/>
          </w:tabs>
          <w:ind w:left="1361" w:hanging="681"/>
        </w:pPr>
        <w:rPr>
          <w:rFonts w:hint="default"/>
          <w:b/>
          <w:i w:val="0"/>
          <w:sz w:val="17"/>
        </w:rPr>
      </w:lvl>
    </w:lvlOverride>
    <w:lvlOverride w:ilvl="3">
      <w:lvl w:ilvl="3">
        <w:start w:val="1"/>
        <w:numFmt w:val="lowerRoman"/>
        <w:pStyle w:val="Level4"/>
        <w:lvlText w:val="(%4)"/>
        <w:lvlJc w:val="left"/>
        <w:pPr>
          <w:tabs>
            <w:tab w:val="num" w:pos="2041"/>
          </w:tabs>
          <w:ind w:left="2041" w:hanging="680"/>
        </w:pPr>
        <w:rPr>
          <w:rFonts w:hint="default"/>
          <w:sz w:val="20"/>
        </w:rPr>
      </w:lvl>
    </w:lvlOverride>
    <w:lvlOverride w:ilvl="4">
      <w:lvl w:ilvl="4">
        <w:start w:val="1"/>
        <w:numFmt w:val="lowerLetter"/>
        <w:pStyle w:val="Level5"/>
        <w:lvlText w:val="(%5)"/>
        <w:lvlJc w:val="left"/>
        <w:pPr>
          <w:tabs>
            <w:tab w:val="num" w:pos="2722"/>
          </w:tabs>
          <w:ind w:left="2722" w:hanging="681"/>
        </w:pPr>
        <w:rPr>
          <w:rFonts w:hint="default"/>
          <w:sz w:val="20"/>
        </w:rPr>
      </w:lvl>
    </w:lvlOverride>
    <w:lvlOverride w:ilvl="5">
      <w:lvl w:ilvl="5">
        <w:start w:val="1"/>
        <w:numFmt w:val="upperRoman"/>
        <w:pStyle w:val="Level6"/>
        <w:lvlText w:val="(%6)"/>
        <w:lvlJc w:val="left"/>
        <w:pPr>
          <w:tabs>
            <w:tab w:val="num" w:pos="3402"/>
          </w:tabs>
          <w:ind w:left="3402" w:hanging="680"/>
        </w:pPr>
        <w:rPr>
          <w:rFonts w:hint="default"/>
          <w:sz w:val="20"/>
        </w:rPr>
      </w:lvl>
    </w:lvlOverride>
    <w:lvlOverride w:ilvl="6">
      <w:lvl w:ilvl="6">
        <w:start w:val="1"/>
        <w:numFmt w:val="none"/>
        <w:pStyle w:val="Level7"/>
        <w:lvlText w:val=""/>
        <w:lvlJc w:val="left"/>
        <w:pPr>
          <w:tabs>
            <w:tab w:val="num" w:pos="3402"/>
          </w:tabs>
          <w:ind w:left="3402" w:hanging="680"/>
        </w:pPr>
        <w:rPr>
          <w:rFonts w:hint="default"/>
        </w:rPr>
      </w:lvl>
    </w:lvlOverride>
    <w:lvlOverride w:ilvl="7">
      <w:lvl w:ilvl="7">
        <w:start w:val="1"/>
        <w:numFmt w:val="none"/>
        <w:pStyle w:val="Level8"/>
        <w:lvlText w:val=""/>
        <w:lvlJc w:val="left"/>
        <w:pPr>
          <w:tabs>
            <w:tab w:val="num" w:pos="3402"/>
          </w:tabs>
          <w:ind w:left="3402" w:hanging="680"/>
        </w:pPr>
        <w:rPr>
          <w:rFonts w:hint="default"/>
        </w:rPr>
      </w:lvl>
    </w:lvlOverride>
    <w:lvlOverride w:ilvl="8">
      <w:lvl w:ilvl="8">
        <w:start w:val="1"/>
        <w:numFmt w:val="none"/>
        <w:pStyle w:val="Level9"/>
        <w:lvlText w:val=""/>
        <w:lvlJc w:val="left"/>
        <w:pPr>
          <w:tabs>
            <w:tab w:val="num" w:pos="3402"/>
          </w:tabs>
          <w:ind w:left="3402" w:hanging="680"/>
        </w:pPr>
        <w:rPr>
          <w:rFonts w:hint="default"/>
        </w:rPr>
      </w:lvl>
    </w:lvlOverride>
  </w:num>
  <w:num w:numId="198" w16cid:durableId="409737986">
    <w:abstractNumId w:val="15"/>
    <w:lvlOverride w:ilvl="0">
      <w:lvl w:ilvl="0">
        <w:start w:val="1"/>
        <w:numFmt w:val="decimal"/>
        <w:pStyle w:val="Level1"/>
        <w:lvlText w:val="%1"/>
        <w:lvlJc w:val="left"/>
        <w:pPr>
          <w:tabs>
            <w:tab w:val="num" w:pos="680"/>
          </w:tabs>
          <w:ind w:left="680" w:hanging="680"/>
        </w:pPr>
        <w:rPr>
          <w:rFonts w:hAnsi="Arial" w:cs="Times New Roman" w:hint="default"/>
          <w:b/>
          <w:i w:val="0"/>
          <w:sz w:val="22"/>
        </w:rPr>
      </w:lvl>
    </w:lvlOverride>
    <w:lvlOverride w:ilvl="1">
      <w:lvl w:ilvl="1">
        <w:start w:val="1"/>
        <w:numFmt w:val="decimal"/>
        <w:pStyle w:val="Level2"/>
        <w:lvlText w:val="%1.%2"/>
        <w:lvlJc w:val="left"/>
        <w:pPr>
          <w:tabs>
            <w:tab w:val="num" w:pos="680"/>
          </w:tabs>
          <w:ind w:left="680" w:hanging="680"/>
        </w:pPr>
        <w:rPr>
          <w:rFonts w:hint="default"/>
          <w:b/>
          <w:i w:val="0"/>
          <w:sz w:val="21"/>
        </w:rPr>
      </w:lvl>
    </w:lvlOverride>
    <w:lvlOverride w:ilvl="2">
      <w:lvl w:ilvl="2">
        <w:start w:val="1"/>
        <w:numFmt w:val="decimal"/>
        <w:pStyle w:val="Level3"/>
        <w:lvlText w:val="%1.%2.%3"/>
        <w:lvlJc w:val="left"/>
        <w:pPr>
          <w:tabs>
            <w:tab w:val="num" w:pos="1361"/>
          </w:tabs>
          <w:ind w:left="1361" w:hanging="681"/>
        </w:pPr>
        <w:rPr>
          <w:rFonts w:hint="default"/>
          <w:b/>
          <w:i w:val="0"/>
          <w:sz w:val="17"/>
        </w:rPr>
      </w:lvl>
    </w:lvlOverride>
    <w:lvlOverride w:ilvl="3">
      <w:lvl w:ilvl="3">
        <w:start w:val="1"/>
        <w:numFmt w:val="lowerRoman"/>
        <w:pStyle w:val="Level4"/>
        <w:lvlText w:val="(%4)"/>
        <w:lvlJc w:val="left"/>
        <w:pPr>
          <w:tabs>
            <w:tab w:val="num" w:pos="2041"/>
          </w:tabs>
          <w:ind w:left="2041" w:hanging="680"/>
        </w:pPr>
        <w:rPr>
          <w:rFonts w:hint="default"/>
          <w:sz w:val="20"/>
        </w:rPr>
      </w:lvl>
    </w:lvlOverride>
    <w:lvlOverride w:ilvl="4">
      <w:lvl w:ilvl="4">
        <w:start w:val="1"/>
        <w:numFmt w:val="lowerLetter"/>
        <w:pStyle w:val="Level5"/>
        <w:lvlText w:val="(%5)"/>
        <w:lvlJc w:val="left"/>
        <w:pPr>
          <w:tabs>
            <w:tab w:val="num" w:pos="2722"/>
          </w:tabs>
          <w:ind w:left="2722" w:hanging="681"/>
        </w:pPr>
        <w:rPr>
          <w:rFonts w:hint="default"/>
          <w:sz w:val="20"/>
        </w:rPr>
      </w:lvl>
    </w:lvlOverride>
    <w:lvlOverride w:ilvl="5">
      <w:lvl w:ilvl="5">
        <w:start w:val="1"/>
        <w:numFmt w:val="upperRoman"/>
        <w:pStyle w:val="Level6"/>
        <w:lvlText w:val="(%6)"/>
        <w:lvlJc w:val="left"/>
        <w:pPr>
          <w:tabs>
            <w:tab w:val="num" w:pos="3402"/>
          </w:tabs>
          <w:ind w:left="3402" w:hanging="680"/>
        </w:pPr>
        <w:rPr>
          <w:rFonts w:hint="default"/>
          <w:sz w:val="20"/>
        </w:rPr>
      </w:lvl>
    </w:lvlOverride>
    <w:lvlOverride w:ilvl="6">
      <w:lvl w:ilvl="6">
        <w:start w:val="1"/>
        <w:numFmt w:val="none"/>
        <w:pStyle w:val="Level7"/>
        <w:lvlText w:val=""/>
        <w:lvlJc w:val="left"/>
        <w:pPr>
          <w:tabs>
            <w:tab w:val="num" w:pos="3402"/>
          </w:tabs>
          <w:ind w:left="3402" w:hanging="680"/>
        </w:pPr>
        <w:rPr>
          <w:rFonts w:hint="default"/>
        </w:rPr>
      </w:lvl>
    </w:lvlOverride>
    <w:lvlOverride w:ilvl="7">
      <w:lvl w:ilvl="7">
        <w:start w:val="1"/>
        <w:numFmt w:val="none"/>
        <w:pStyle w:val="Level8"/>
        <w:lvlText w:val=""/>
        <w:lvlJc w:val="left"/>
        <w:pPr>
          <w:tabs>
            <w:tab w:val="num" w:pos="3402"/>
          </w:tabs>
          <w:ind w:left="3402" w:hanging="680"/>
        </w:pPr>
        <w:rPr>
          <w:rFonts w:hint="default"/>
        </w:rPr>
      </w:lvl>
    </w:lvlOverride>
    <w:lvlOverride w:ilvl="8">
      <w:lvl w:ilvl="8">
        <w:start w:val="1"/>
        <w:numFmt w:val="none"/>
        <w:pStyle w:val="Level9"/>
        <w:lvlText w:val=""/>
        <w:lvlJc w:val="left"/>
        <w:pPr>
          <w:tabs>
            <w:tab w:val="num" w:pos="3402"/>
          </w:tabs>
          <w:ind w:left="3402" w:hanging="680"/>
        </w:pPr>
        <w:rPr>
          <w:rFonts w:hint="default"/>
        </w:rPr>
      </w:lvl>
    </w:lvlOverride>
  </w:num>
  <w:num w:numId="199" w16cid:durableId="1277980349">
    <w:abstractNumId w:val="12"/>
  </w:num>
  <w:num w:numId="200" w16cid:durableId="255095588">
    <w:abstractNumId w:val="12"/>
  </w:num>
  <w:num w:numId="201" w16cid:durableId="96346558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2" w16cid:durableId="153010113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0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attachedTemplate r:id="rId1"/>
  <w:stylePaneFormatFilter w:val="1724" w:allStyles="0" w:customStyles="0" w:latentStyles="1" w:stylesInUse="0" w:headingStyles="1" w:numberingStyles="0" w:tableStyles="0" w:directFormattingOnRuns="1" w:directFormattingOnParagraphs="1" w:directFormattingOnNumbering="1" w:directFormattingOnTables="0" w:clearFormatting="1" w:top3HeadingStyles="0" w:visibleStyles="0" w:alternateStyleNames="0"/>
  <w:stylePaneSortMethod w:val="0000"/>
  <w:defaultTabStop w:val="68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13CE"/>
    <w:rsid w:val="00002347"/>
    <w:rsid w:val="00002FD9"/>
    <w:rsid w:val="00004328"/>
    <w:rsid w:val="00004489"/>
    <w:rsid w:val="00004616"/>
    <w:rsid w:val="000046BF"/>
    <w:rsid w:val="00004861"/>
    <w:rsid w:val="00004EED"/>
    <w:rsid w:val="00006CCE"/>
    <w:rsid w:val="00007E5A"/>
    <w:rsid w:val="000102B2"/>
    <w:rsid w:val="0001142F"/>
    <w:rsid w:val="00012F6B"/>
    <w:rsid w:val="00014575"/>
    <w:rsid w:val="00016348"/>
    <w:rsid w:val="000165A4"/>
    <w:rsid w:val="0001764A"/>
    <w:rsid w:val="00017F24"/>
    <w:rsid w:val="0002012B"/>
    <w:rsid w:val="000204AF"/>
    <w:rsid w:val="00020965"/>
    <w:rsid w:val="000216BD"/>
    <w:rsid w:val="00021833"/>
    <w:rsid w:val="00021D79"/>
    <w:rsid w:val="0002249B"/>
    <w:rsid w:val="000224C9"/>
    <w:rsid w:val="000245A2"/>
    <w:rsid w:val="00024702"/>
    <w:rsid w:val="00024948"/>
    <w:rsid w:val="0002511C"/>
    <w:rsid w:val="00025192"/>
    <w:rsid w:val="00025DA1"/>
    <w:rsid w:val="00025F57"/>
    <w:rsid w:val="0002691C"/>
    <w:rsid w:val="00026CC8"/>
    <w:rsid w:val="000273E1"/>
    <w:rsid w:val="000274DE"/>
    <w:rsid w:val="000275E9"/>
    <w:rsid w:val="0002770F"/>
    <w:rsid w:val="00027FB0"/>
    <w:rsid w:val="00030DD0"/>
    <w:rsid w:val="0003108C"/>
    <w:rsid w:val="00031256"/>
    <w:rsid w:val="00032BF0"/>
    <w:rsid w:val="000330BF"/>
    <w:rsid w:val="00033503"/>
    <w:rsid w:val="00033F45"/>
    <w:rsid w:val="000348AD"/>
    <w:rsid w:val="00034F5D"/>
    <w:rsid w:val="00035FB6"/>
    <w:rsid w:val="00036A1F"/>
    <w:rsid w:val="00037492"/>
    <w:rsid w:val="000376B0"/>
    <w:rsid w:val="00037C42"/>
    <w:rsid w:val="000403BC"/>
    <w:rsid w:val="000410B2"/>
    <w:rsid w:val="00042B47"/>
    <w:rsid w:val="00044B8F"/>
    <w:rsid w:val="00045927"/>
    <w:rsid w:val="00045EBC"/>
    <w:rsid w:val="000468F3"/>
    <w:rsid w:val="000502CB"/>
    <w:rsid w:val="00050629"/>
    <w:rsid w:val="000508EF"/>
    <w:rsid w:val="00050B23"/>
    <w:rsid w:val="0005294D"/>
    <w:rsid w:val="00053F5A"/>
    <w:rsid w:val="000540DA"/>
    <w:rsid w:val="00055C44"/>
    <w:rsid w:val="000561DD"/>
    <w:rsid w:val="00057440"/>
    <w:rsid w:val="00057518"/>
    <w:rsid w:val="000608CE"/>
    <w:rsid w:val="00060FDE"/>
    <w:rsid w:val="00061592"/>
    <w:rsid w:val="00062A85"/>
    <w:rsid w:val="00064E91"/>
    <w:rsid w:val="00064FAE"/>
    <w:rsid w:val="000658B0"/>
    <w:rsid w:val="0006647C"/>
    <w:rsid w:val="000665B2"/>
    <w:rsid w:val="00067528"/>
    <w:rsid w:val="00070071"/>
    <w:rsid w:val="000709E6"/>
    <w:rsid w:val="0007147D"/>
    <w:rsid w:val="00072106"/>
    <w:rsid w:val="00072B06"/>
    <w:rsid w:val="00072B6A"/>
    <w:rsid w:val="00073FFC"/>
    <w:rsid w:val="000754C3"/>
    <w:rsid w:val="00075BA9"/>
    <w:rsid w:val="0007706F"/>
    <w:rsid w:val="000771C4"/>
    <w:rsid w:val="0008015A"/>
    <w:rsid w:val="00081621"/>
    <w:rsid w:val="00081CC5"/>
    <w:rsid w:val="00082E43"/>
    <w:rsid w:val="000847F7"/>
    <w:rsid w:val="00084DE0"/>
    <w:rsid w:val="00086F8C"/>
    <w:rsid w:val="0008712D"/>
    <w:rsid w:val="000904D2"/>
    <w:rsid w:val="000908FF"/>
    <w:rsid w:val="00091468"/>
    <w:rsid w:val="00091C55"/>
    <w:rsid w:val="00091D4A"/>
    <w:rsid w:val="000921C6"/>
    <w:rsid w:val="000928C1"/>
    <w:rsid w:val="00093580"/>
    <w:rsid w:val="00093800"/>
    <w:rsid w:val="00094771"/>
    <w:rsid w:val="000949A1"/>
    <w:rsid w:val="00094A99"/>
    <w:rsid w:val="0009502E"/>
    <w:rsid w:val="00096A9E"/>
    <w:rsid w:val="0009782A"/>
    <w:rsid w:val="000978A9"/>
    <w:rsid w:val="000A255D"/>
    <w:rsid w:val="000A2D2B"/>
    <w:rsid w:val="000A3A39"/>
    <w:rsid w:val="000A4C67"/>
    <w:rsid w:val="000A6854"/>
    <w:rsid w:val="000A7261"/>
    <w:rsid w:val="000B0002"/>
    <w:rsid w:val="000B01C6"/>
    <w:rsid w:val="000B0533"/>
    <w:rsid w:val="000B08AD"/>
    <w:rsid w:val="000B0F96"/>
    <w:rsid w:val="000B158E"/>
    <w:rsid w:val="000B2CA1"/>
    <w:rsid w:val="000B2D37"/>
    <w:rsid w:val="000B2E29"/>
    <w:rsid w:val="000B313F"/>
    <w:rsid w:val="000B359F"/>
    <w:rsid w:val="000B423D"/>
    <w:rsid w:val="000B470D"/>
    <w:rsid w:val="000B4EBF"/>
    <w:rsid w:val="000B5314"/>
    <w:rsid w:val="000B5FA4"/>
    <w:rsid w:val="000B6E1B"/>
    <w:rsid w:val="000C03F9"/>
    <w:rsid w:val="000C1403"/>
    <w:rsid w:val="000C1AF4"/>
    <w:rsid w:val="000C234C"/>
    <w:rsid w:val="000C239C"/>
    <w:rsid w:val="000C2D89"/>
    <w:rsid w:val="000C33B5"/>
    <w:rsid w:val="000C3873"/>
    <w:rsid w:val="000C3C9B"/>
    <w:rsid w:val="000C4031"/>
    <w:rsid w:val="000C48E0"/>
    <w:rsid w:val="000C49D8"/>
    <w:rsid w:val="000C4DF2"/>
    <w:rsid w:val="000C5A54"/>
    <w:rsid w:val="000C614D"/>
    <w:rsid w:val="000C63B3"/>
    <w:rsid w:val="000C65C5"/>
    <w:rsid w:val="000C75C8"/>
    <w:rsid w:val="000C7800"/>
    <w:rsid w:val="000D1778"/>
    <w:rsid w:val="000D250C"/>
    <w:rsid w:val="000D271E"/>
    <w:rsid w:val="000D2CBF"/>
    <w:rsid w:val="000D31C8"/>
    <w:rsid w:val="000D3B84"/>
    <w:rsid w:val="000D40A5"/>
    <w:rsid w:val="000D462E"/>
    <w:rsid w:val="000D5842"/>
    <w:rsid w:val="000D6386"/>
    <w:rsid w:val="000D6555"/>
    <w:rsid w:val="000D6C81"/>
    <w:rsid w:val="000D6D9E"/>
    <w:rsid w:val="000D7734"/>
    <w:rsid w:val="000D784A"/>
    <w:rsid w:val="000E0179"/>
    <w:rsid w:val="000E0740"/>
    <w:rsid w:val="000E0D16"/>
    <w:rsid w:val="000E0E15"/>
    <w:rsid w:val="000E14FD"/>
    <w:rsid w:val="000E1790"/>
    <w:rsid w:val="000E1891"/>
    <w:rsid w:val="000E1DB8"/>
    <w:rsid w:val="000E26EF"/>
    <w:rsid w:val="000E2A8A"/>
    <w:rsid w:val="000E3926"/>
    <w:rsid w:val="000E4605"/>
    <w:rsid w:val="000E492A"/>
    <w:rsid w:val="000E4954"/>
    <w:rsid w:val="000E4BFE"/>
    <w:rsid w:val="000E4E70"/>
    <w:rsid w:val="000E5B96"/>
    <w:rsid w:val="000E5F3E"/>
    <w:rsid w:val="000E73CE"/>
    <w:rsid w:val="000F0172"/>
    <w:rsid w:val="000F1287"/>
    <w:rsid w:val="000F1B88"/>
    <w:rsid w:val="000F1B89"/>
    <w:rsid w:val="000F30CE"/>
    <w:rsid w:val="000F3458"/>
    <w:rsid w:val="000F40DE"/>
    <w:rsid w:val="000F47C6"/>
    <w:rsid w:val="000F483A"/>
    <w:rsid w:val="000F5A6D"/>
    <w:rsid w:val="00101296"/>
    <w:rsid w:val="00101365"/>
    <w:rsid w:val="001018CF"/>
    <w:rsid w:val="00101AC9"/>
    <w:rsid w:val="00101BDF"/>
    <w:rsid w:val="001021C1"/>
    <w:rsid w:val="001037F5"/>
    <w:rsid w:val="00103E11"/>
    <w:rsid w:val="001040F5"/>
    <w:rsid w:val="0010497C"/>
    <w:rsid w:val="00104E80"/>
    <w:rsid w:val="00105F4E"/>
    <w:rsid w:val="001076CA"/>
    <w:rsid w:val="0011089C"/>
    <w:rsid w:val="00110BF5"/>
    <w:rsid w:val="00111047"/>
    <w:rsid w:val="00111ECC"/>
    <w:rsid w:val="001120D8"/>
    <w:rsid w:val="0011222A"/>
    <w:rsid w:val="00112520"/>
    <w:rsid w:val="00112670"/>
    <w:rsid w:val="00112913"/>
    <w:rsid w:val="00112B05"/>
    <w:rsid w:val="00112D55"/>
    <w:rsid w:val="00113464"/>
    <w:rsid w:val="00113493"/>
    <w:rsid w:val="00115F32"/>
    <w:rsid w:val="001163CC"/>
    <w:rsid w:val="0012192A"/>
    <w:rsid w:val="0012251F"/>
    <w:rsid w:val="0012298C"/>
    <w:rsid w:val="00122FB9"/>
    <w:rsid w:val="00123B5B"/>
    <w:rsid w:val="00124F6C"/>
    <w:rsid w:val="0012521F"/>
    <w:rsid w:val="001253F4"/>
    <w:rsid w:val="00126157"/>
    <w:rsid w:val="00126960"/>
    <w:rsid w:val="00126A15"/>
    <w:rsid w:val="00127567"/>
    <w:rsid w:val="00127CAE"/>
    <w:rsid w:val="00131129"/>
    <w:rsid w:val="001312F9"/>
    <w:rsid w:val="00131408"/>
    <w:rsid w:val="0013193A"/>
    <w:rsid w:val="00132A5E"/>
    <w:rsid w:val="001334F6"/>
    <w:rsid w:val="001340C2"/>
    <w:rsid w:val="00136002"/>
    <w:rsid w:val="00136552"/>
    <w:rsid w:val="00140CC6"/>
    <w:rsid w:val="00141FB9"/>
    <w:rsid w:val="00142130"/>
    <w:rsid w:val="00144E8A"/>
    <w:rsid w:val="00147083"/>
    <w:rsid w:val="00150096"/>
    <w:rsid w:val="001505AF"/>
    <w:rsid w:val="00150831"/>
    <w:rsid w:val="001508D2"/>
    <w:rsid w:val="00152A7F"/>
    <w:rsid w:val="00152F70"/>
    <w:rsid w:val="001543B4"/>
    <w:rsid w:val="001546FA"/>
    <w:rsid w:val="0015735F"/>
    <w:rsid w:val="00157507"/>
    <w:rsid w:val="0015760E"/>
    <w:rsid w:val="00160754"/>
    <w:rsid w:val="00160AA6"/>
    <w:rsid w:val="0016230E"/>
    <w:rsid w:val="00162B8A"/>
    <w:rsid w:val="00163CE8"/>
    <w:rsid w:val="001640F2"/>
    <w:rsid w:val="00164C5A"/>
    <w:rsid w:val="00165136"/>
    <w:rsid w:val="0016646E"/>
    <w:rsid w:val="00166687"/>
    <w:rsid w:val="00167CC5"/>
    <w:rsid w:val="0017322E"/>
    <w:rsid w:val="00173A71"/>
    <w:rsid w:val="00173C9C"/>
    <w:rsid w:val="00173F4C"/>
    <w:rsid w:val="00174950"/>
    <w:rsid w:val="00175AC1"/>
    <w:rsid w:val="00176ADA"/>
    <w:rsid w:val="00177382"/>
    <w:rsid w:val="00177594"/>
    <w:rsid w:val="001804BA"/>
    <w:rsid w:val="00180F8D"/>
    <w:rsid w:val="001815DF"/>
    <w:rsid w:val="0018190A"/>
    <w:rsid w:val="001824E6"/>
    <w:rsid w:val="0018443B"/>
    <w:rsid w:val="00184485"/>
    <w:rsid w:val="001848A3"/>
    <w:rsid w:val="00184D6B"/>
    <w:rsid w:val="00184D83"/>
    <w:rsid w:val="0018686C"/>
    <w:rsid w:val="00187D17"/>
    <w:rsid w:val="00190029"/>
    <w:rsid w:val="00190BEB"/>
    <w:rsid w:val="00191393"/>
    <w:rsid w:val="00191699"/>
    <w:rsid w:val="00191F43"/>
    <w:rsid w:val="00193539"/>
    <w:rsid w:val="00194090"/>
    <w:rsid w:val="00194B25"/>
    <w:rsid w:val="00195529"/>
    <w:rsid w:val="00196B43"/>
    <w:rsid w:val="00196E07"/>
    <w:rsid w:val="001A0472"/>
    <w:rsid w:val="001A06C3"/>
    <w:rsid w:val="001A19F5"/>
    <w:rsid w:val="001A1A21"/>
    <w:rsid w:val="001A1F7D"/>
    <w:rsid w:val="001A22DB"/>
    <w:rsid w:val="001A2657"/>
    <w:rsid w:val="001A2B7C"/>
    <w:rsid w:val="001A36B8"/>
    <w:rsid w:val="001A425D"/>
    <w:rsid w:val="001A47F5"/>
    <w:rsid w:val="001A57BF"/>
    <w:rsid w:val="001A6523"/>
    <w:rsid w:val="001A6624"/>
    <w:rsid w:val="001A6EF4"/>
    <w:rsid w:val="001A7B2A"/>
    <w:rsid w:val="001B052B"/>
    <w:rsid w:val="001B0628"/>
    <w:rsid w:val="001B0C22"/>
    <w:rsid w:val="001B15F6"/>
    <w:rsid w:val="001B179B"/>
    <w:rsid w:val="001B27B2"/>
    <w:rsid w:val="001B397E"/>
    <w:rsid w:val="001B3A0A"/>
    <w:rsid w:val="001B464A"/>
    <w:rsid w:val="001B5CF0"/>
    <w:rsid w:val="001B5E81"/>
    <w:rsid w:val="001B6AAB"/>
    <w:rsid w:val="001B6B44"/>
    <w:rsid w:val="001B72B9"/>
    <w:rsid w:val="001B73DC"/>
    <w:rsid w:val="001B7A00"/>
    <w:rsid w:val="001B7A8F"/>
    <w:rsid w:val="001C06A6"/>
    <w:rsid w:val="001C1020"/>
    <w:rsid w:val="001C1C2C"/>
    <w:rsid w:val="001C23FE"/>
    <w:rsid w:val="001C39CD"/>
    <w:rsid w:val="001C4D18"/>
    <w:rsid w:val="001C57E4"/>
    <w:rsid w:val="001C5836"/>
    <w:rsid w:val="001C6A07"/>
    <w:rsid w:val="001C6EF8"/>
    <w:rsid w:val="001C7AFB"/>
    <w:rsid w:val="001C7E3A"/>
    <w:rsid w:val="001D0ED9"/>
    <w:rsid w:val="001D1F8F"/>
    <w:rsid w:val="001D5BD8"/>
    <w:rsid w:val="001D5CD7"/>
    <w:rsid w:val="001D5FBE"/>
    <w:rsid w:val="001D7F7C"/>
    <w:rsid w:val="001E09BC"/>
    <w:rsid w:val="001E0AEF"/>
    <w:rsid w:val="001E0D31"/>
    <w:rsid w:val="001E0F59"/>
    <w:rsid w:val="001E105D"/>
    <w:rsid w:val="001E155F"/>
    <w:rsid w:val="001E1887"/>
    <w:rsid w:val="001E221A"/>
    <w:rsid w:val="001E29AC"/>
    <w:rsid w:val="001E3192"/>
    <w:rsid w:val="001E3C6F"/>
    <w:rsid w:val="001E3CC7"/>
    <w:rsid w:val="001E3E10"/>
    <w:rsid w:val="001E429F"/>
    <w:rsid w:val="001E56E0"/>
    <w:rsid w:val="001E596F"/>
    <w:rsid w:val="001E6380"/>
    <w:rsid w:val="001E6426"/>
    <w:rsid w:val="001E6923"/>
    <w:rsid w:val="001E7A8B"/>
    <w:rsid w:val="001E7D94"/>
    <w:rsid w:val="001F07FD"/>
    <w:rsid w:val="001F1056"/>
    <w:rsid w:val="001F1182"/>
    <w:rsid w:val="001F1297"/>
    <w:rsid w:val="001F1373"/>
    <w:rsid w:val="001F1CA4"/>
    <w:rsid w:val="001F20FD"/>
    <w:rsid w:val="001F227F"/>
    <w:rsid w:val="001F2485"/>
    <w:rsid w:val="001F37B7"/>
    <w:rsid w:val="001F40DE"/>
    <w:rsid w:val="001F4D06"/>
    <w:rsid w:val="001F54BD"/>
    <w:rsid w:val="001F5CF6"/>
    <w:rsid w:val="001F60D5"/>
    <w:rsid w:val="001F7537"/>
    <w:rsid w:val="001F7819"/>
    <w:rsid w:val="001F7F8B"/>
    <w:rsid w:val="0020159F"/>
    <w:rsid w:val="00201BAA"/>
    <w:rsid w:val="002033E8"/>
    <w:rsid w:val="00203B50"/>
    <w:rsid w:val="00203B72"/>
    <w:rsid w:val="00204441"/>
    <w:rsid w:val="00205124"/>
    <w:rsid w:val="002059D7"/>
    <w:rsid w:val="002063E8"/>
    <w:rsid w:val="002066CF"/>
    <w:rsid w:val="002070AD"/>
    <w:rsid w:val="00207D56"/>
    <w:rsid w:val="00210309"/>
    <w:rsid w:val="00210C9E"/>
    <w:rsid w:val="002111DC"/>
    <w:rsid w:val="002118F3"/>
    <w:rsid w:val="00212843"/>
    <w:rsid w:val="00213915"/>
    <w:rsid w:val="00213B71"/>
    <w:rsid w:val="00213FA8"/>
    <w:rsid w:val="00214D5E"/>
    <w:rsid w:val="00214D6F"/>
    <w:rsid w:val="00214E6E"/>
    <w:rsid w:val="002155A3"/>
    <w:rsid w:val="00215D1F"/>
    <w:rsid w:val="00215E93"/>
    <w:rsid w:val="00215FFD"/>
    <w:rsid w:val="002162EC"/>
    <w:rsid w:val="00216FD9"/>
    <w:rsid w:val="002170BE"/>
    <w:rsid w:val="00217754"/>
    <w:rsid w:val="00217CB1"/>
    <w:rsid w:val="002203B5"/>
    <w:rsid w:val="00221592"/>
    <w:rsid w:val="002222B3"/>
    <w:rsid w:val="002225EA"/>
    <w:rsid w:val="00223267"/>
    <w:rsid w:val="0022468E"/>
    <w:rsid w:val="00224C10"/>
    <w:rsid w:val="002251E5"/>
    <w:rsid w:val="002259A2"/>
    <w:rsid w:val="00225B25"/>
    <w:rsid w:val="002260D7"/>
    <w:rsid w:val="00226382"/>
    <w:rsid w:val="002272F3"/>
    <w:rsid w:val="00227B4F"/>
    <w:rsid w:val="00227CBE"/>
    <w:rsid w:val="00227E8B"/>
    <w:rsid w:val="0023040F"/>
    <w:rsid w:val="00230AF0"/>
    <w:rsid w:val="00230CE3"/>
    <w:rsid w:val="0023131A"/>
    <w:rsid w:val="00232558"/>
    <w:rsid w:val="00232EFF"/>
    <w:rsid w:val="00233DCE"/>
    <w:rsid w:val="0023404F"/>
    <w:rsid w:val="00234887"/>
    <w:rsid w:val="00234B48"/>
    <w:rsid w:val="00234FF1"/>
    <w:rsid w:val="00235136"/>
    <w:rsid w:val="0023513E"/>
    <w:rsid w:val="00235314"/>
    <w:rsid w:val="002353CE"/>
    <w:rsid w:val="00235C7B"/>
    <w:rsid w:val="0023628F"/>
    <w:rsid w:val="002378AA"/>
    <w:rsid w:val="002378AF"/>
    <w:rsid w:val="00237B71"/>
    <w:rsid w:val="00240DC3"/>
    <w:rsid w:val="00240E5E"/>
    <w:rsid w:val="002419B8"/>
    <w:rsid w:val="00242B84"/>
    <w:rsid w:val="0024301A"/>
    <w:rsid w:val="00244B87"/>
    <w:rsid w:val="00244C18"/>
    <w:rsid w:val="00244D48"/>
    <w:rsid w:val="002451DF"/>
    <w:rsid w:val="002451E9"/>
    <w:rsid w:val="00245EE6"/>
    <w:rsid w:val="0024738F"/>
    <w:rsid w:val="00247C91"/>
    <w:rsid w:val="0025138C"/>
    <w:rsid w:val="00252706"/>
    <w:rsid w:val="002531CB"/>
    <w:rsid w:val="002543C8"/>
    <w:rsid w:val="00254B9F"/>
    <w:rsid w:val="0025632C"/>
    <w:rsid w:val="0025793A"/>
    <w:rsid w:val="00257DBB"/>
    <w:rsid w:val="00260108"/>
    <w:rsid w:val="0026044A"/>
    <w:rsid w:val="00261243"/>
    <w:rsid w:val="00261732"/>
    <w:rsid w:val="00261838"/>
    <w:rsid w:val="00261A37"/>
    <w:rsid w:val="0026274E"/>
    <w:rsid w:val="002627A0"/>
    <w:rsid w:val="0026370A"/>
    <w:rsid w:val="002646EB"/>
    <w:rsid w:val="002658DA"/>
    <w:rsid w:val="00265EF8"/>
    <w:rsid w:val="00265F58"/>
    <w:rsid w:val="0026638C"/>
    <w:rsid w:val="002671EF"/>
    <w:rsid w:val="0026721D"/>
    <w:rsid w:val="00270EB9"/>
    <w:rsid w:val="00271299"/>
    <w:rsid w:val="0027146B"/>
    <w:rsid w:val="00272180"/>
    <w:rsid w:val="00275358"/>
    <w:rsid w:val="00276AD4"/>
    <w:rsid w:val="00276E6D"/>
    <w:rsid w:val="002772E0"/>
    <w:rsid w:val="002774DB"/>
    <w:rsid w:val="002800C2"/>
    <w:rsid w:val="002800CB"/>
    <w:rsid w:val="002803E5"/>
    <w:rsid w:val="00281833"/>
    <w:rsid w:val="00282FCB"/>
    <w:rsid w:val="002838B0"/>
    <w:rsid w:val="00283EED"/>
    <w:rsid w:val="002847D9"/>
    <w:rsid w:val="0028504A"/>
    <w:rsid w:val="002852B4"/>
    <w:rsid w:val="00285E97"/>
    <w:rsid w:val="002863B9"/>
    <w:rsid w:val="00286637"/>
    <w:rsid w:val="0028714B"/>
    <w:rsid w:val="002875FB"/>
    <w:rsid w:val="0029002F"/>
    <w:rsid w:val="002909AE"/>
    <w:rsid w:val="0029144A"/>
    <w:rsid w:val="00291F77"/>
    <w:rsid w:val="00292085"/>
    <w:rsid w:val="00293173"/>
    <w:rsid w:val="002935B9"/>
    <w:rsid w:val="00293AD7"/>
    <w:rsid w:val="00293CB5"/>
    <w:rsid w:val="002940D7"/>
    <w:rsid w:val="00294819"/>
    <w:rsid w:val="0029720C"/>
    <w:rsid w:val="002972C2"/>
    <w:rsid w:val="00297696"/>
    <w:rsid w:val="00297AF7"/>
    <w:rsid w:val="00297CF2"/>
    <w:rsid w:val="002A0035"/>
    <w:rsid w:val="002A0880"/>
    <w:rsid w:val="002A2244"/>
    <w:rsid w:val="002A270F"/>
    <w:rsid w:val="002A3051"/>
    <w:rsid w:val="002A36EE"/>
    <w:rsid w:val="002A3C24"/>
    <w:rsid w:val="002A3D3E"/>
    <w:rsid w:val="002A3DC0"/>
    <w:rsid w:val="002A4483"/>
    <w:rsid w:val="002A44E3"/>
    <w:rsid w:val="002A6821"/>
    <w:rsid w:val="002A6A04"/>
    <w:rsid w:val="002A7AC0"/>
    <w:rsid w:val="002B08C3"/>
    <w:rsid w:val="002B0FF7"/>
    <w:rsid w:val="002B133A"/>
    <w:rsid w:val="002B1AF4"/>
    <w:rsid w:val="002B21C4"/>
    <w:rsid w:val="002B2A5F"/>
    <w:rsid w:val="002B3F71"/>
    <w:rsid w:val="002B4113"/>
    <w:rsid w:val="002B44F7"/>
    <w:rsid w:val="002B48A0"/>
    <w:rsid w:val="002B4C19"/>
    <w:rsid w:val="002B51C9"/>
    <w:rsid w:val="002B59AA"/>
    <w:rsid w:val="002B6598"/>
    <w:rsid w:val="002B68C6"/>
    <w:rsid w:val="002C1C41"/>
    <w:rsid w:val="002C2497"/>
    <w:rsid w:val="002C2787"/>
    <w:rsid w:val="002C2B2A"/>
    <w:rsid w:val="002C3D0A"/>
    <w:rsid w:val="002C4803"/>
    <w:rsid w:val="002C52DC"/>
    <w:rsid w:val="002C569E"/>
    <w:rsid w:val="002C56C1"/>
    <w:rsid w:val="002C5778"/>
    <w:rsid w:val="002C5C7C"/>
    <w:rsid w:val="002C5CD8"/>
    <w:rsid w:val="002C6D1E"/>
    <w:rsid w:val="002C710F"/>
    <w:rsid w:val="002C7E4F"/>
    <w:rsid w:val="002D071E"/>
    <w:rsid w:val="002D07D5"/>
    <w:rsid w:val="002D0D7A"/>
    <w:rsid w:val="002D0F1F"/>
    <w:rsid w:val="002D1B5B"/>
    <w:rsid w:val="002D4605"/>
    <w:rsid w:val="002D4A74"/>
    <w:rsid w:val="002D540A"/>
    <w:rsid w:val="002D64F8"/>
    <w:rsid w:val="002E043A"/>
    <w:rsid w:val="002E06B6"/>
    <w:rsid w:val="002E11F7"/>
    <w:rsid w:val="002E12B1"/>
    <w:rsid w:val="002E1429"/>
    <w:rsid w:val="002E16D5"/>
    <w:rsid w:val="002E1741"/>
    <w:rsid w:val="002E2264"/>
    <w:rsid w:val="002E3407"/>
    <w:rsid w:val="002E340A"/>
    <w:rsid w:val="002E36AD"/>
    <w:rsid w:val="002E393D"/>
    <w:rsid w:val="002E3CE4"/>
    <w:rsid w:val="002E4386"/>
    <w:rsid w:val="002E5E19"/>
    <w:rsid w:val="002E6DB4"/>
    <w:rsid w:val="002E6F60"/>
    <w:rsid w:val="002F06B5"/>
    <w:rsid w:val="002F0C18"/>
    <w:rsid w:val="002F0DD4"/>
    <w:rsid w:val="002F1CDD"/>
    <w:rsid w:val="002F2579"/>
    <w:rsid w:val="002F334F"/>
    <w:rsid w:val="002F3435"/>
    <w:rsid w:val="002F3523"/>
    <w:rsid w:val="002F381B"/>
    <w:rsid w:val="002F3CC7"/>
    <w:rsid w:val="002F4239"/>
    <w:rsid w:val="002F46C2"/>
    <w:rsid w:val="002F4C14"/>
    <w:rsid w:val="002F5B77"/>
    <w:rsid w:val="002F70FA"/>
    <w:rsid w:val="002F7188"/>
    <w:rsid w:val="002F7B75"/>
    <w:rsid w:val="002F7E6B"/>
    <w:rsid w:val="003001E5"/>
    <w:rsid w:val="003009C7"/>
    <w:rsid w:val="0030168B"/>
    <w:rsid w:val="00303AE4"/>
    <w:rsid w:val="00304023"/>
    <w:rsid w:val="00304CBF"/>
    <w:rsid w:val="00305A66"/>
    <w:rsid w:val="00305E15"/>
    <w:rsid w:val="003064D7"/>
    <w:rsid w:val="003073B2"/>
    <w:rsid w:val="003107A3"/>
    <w:rsid w:val="003118D6"/>
    <w:rsid w:val="00311F44"/>
    <w:rsid w:val="00312E23"/>
    <w:rsid w:val="00314362"/>
    <w:rsid w:val="00314AEC"/>
    <w:rsid w:val="00314E44"/>
    <w:rsid w:val="00314FDA"/>
    <w:rsid w:val="00315A94"/>
    <w:rsid w:val="00315CA2"/>
    <w:rsid w:val="00315EAE"/>
    <w:rsid w:val="003165CE"/>
    <w:rsid w:val="00320215"/>
    <w:rsid w:val="003205CB"/>
    <w:rsid w:val="00320BED"/>
    <w:rsid w:val="00321326"/>
    <w:rsid w:val="00322AEF"/>
    <w:rsid w:val="0032303C"/>
    <w:rsid w:val="00323FE9"/>
    <w:rsid w:val="00326C11"/>
    <w:rsid w:val="00326CF3"/>
    <w:rsid w:val="00326D1F"/>
    <w:rsid w:val="00327607"/>
    <w:rsid w:val="003276A8"/>
    <w:rsid w:val="00327787"/>
    <w:rsid w:val="00327EC1"/>
    <w:rsid w:val="00330B22"/>
    <w:rsid w:val="00330BF3"/>
    <w:rsid w:val="00330E5C"/>
    <w:rsid w:val="003322EB"/>
    <w:rsid w:val="00332A7D"/>
    <w:rsid w:val="003333CE"/>
    <w:rsid w:val="00334297"/>
    <w:rsid w:val="003342BD"/>
    <w:rsid w:val="0033624B"/>
    <w:rsid w:val="00336AF9"/>
    <w:rsid w:val="00336CA0"/>
    <w:rsid w:val="00340501"/>
    <w:rsid w:val="00340E88"/>
    <w:rsid w:val="00342491"/>
    <w:rsid w:val="00342669"/>
    <w:rsid w:val="003433A8"/>
    <w:rsid w:val="00343CEC"/>
    <w:rsid w:val="00344192"/>
    <w:rsid w:val="00345A02"/>
    <w:rsid w:val="0034609D"/>
    <w:rsid w:val="00347C68"/>
    <w:rsid w:val="00347E55"/>
    <w:rsid w:val="0035004F"/>
    <w:rsid w:val="00350E2D"/>
    <w:rsid w:val="003512CC"/>
    <w:rsid w:val="00352B16"/>
    <w:rsid w:val="00352B3A"/>
    <w:rsid w:val="00352ED7"/>
    <w:rsid w:val="00354E56"/>
    <w:rsid w:val="00355AFE"/>
    <w:rsid w:val="003574EE"/>
    <w:rsid w:val="00357546"/>
    <w:rsid w:val="00357673"/>
    <w:rsid w:val="00360221"/>
    <w:rsid w:val="00360F9C"/>
    <w:rsid w:val="00362FF0"/>
    <w:rsid w:val="00363028"/>
    <w:rsid w:val="003633C4"/>
    <w:rsid w:val="003642E8"/>
    <w:rsid w:val="00364ABE"/>
    <w:rsid w:val="003654F7"/>
    <w:rsid w:val="00365B0A"/>
    <w:rsid w:val="00366474"/>
    <w:rsid w:val="00366AAF"/>
    <w:rsid w:val="00366ECC"/>
    <w:rsid w:val="003675B1"/>
    <w:rsid w:val="00370638"/>
    <w:rsid w:val="00371370"/>
    <w:rsid w:val="00371AB7"/>
    <w:rsid w:val="00372858"/>
    <w:rsid w:val="00373634"/>
    <w:rsid w:val="003751FC"/>
    <w:rsid w:val="003758B1"/>
    <w:rsid w:val="003760D5"/>
    <w:rsid w:val="00376D80"/>
    <w:rsid w:val="00376F89"/>
    <w:rsid w:val="003771B1"/>
    <w:rsid w:val="00377299"/>
    <w:rsid w:val="00380E2D"/>
    <w:rsid w:val="00382403"/>
    <w:rsid w:val="00383189"/>
    <w:rsid w:val="003838D2"/>
    <w:rsid w:val="00384128"/>
    <w:rsid w:val="00384294"/>
    <w:rsid w:val="003846BC"/>
    <w:rsid w:val="00384701"/>
    <w:rsid w:val="0038488D"/>
    <w:rsid w:val="00386728"/>
    <w:rsid w:val="00387FE1"/>
    <w:rsid w:val="00390B92"/>
    <w:rsid w:val="00390C0A"/>
    <w:rsid w:val="00391950"/>
    <w:rsid w:val="00392CE6"/>
    <w:rsid w:val="00393770"/>
    <w:rsid w:val="003939DA"/>
    <w:rsid w:val="00393A77"/>
    <w:rsid w:val="00393AB7"/>
    <w:rsid w:val="003940E5"/>
    <w:rsid w:val="00394257"/>
    <w:rsid w:val="0039462A"/>
    <w:rsid w:val="003953F9"/>
    <w:rsid w:val="00395C58"/>
    <w:rsid w:val="00396BD1"/>
    <w:rsid w:val="00397409"/>
    <w:rsid w:val="00397504"/>
    <w:rsid w:val="003A0680"/>
    <w:rsid w:val="003A0734"/>
    <w:rsid w:val="003A0DFF"/>
    <w:rsid w:val="003A17BE"/>
    <w:rsid w:val="003A1BEE"/>
    <w:rsid w:val="003A2737"/>
    <w:rsid w:val="003A2AB7"/>
    <w:rsid w:val="003A3C9C"/>
    <w:rsid w:val="003A3D86"/>
    <w:rsid w:val="003A4194"/>
    <w:rsid w:val="003A4A50"/>
    <w:rsid w:val="003A5057"/>
    <w:rsid w:val="003A5217"/>
    <w:rsid w:val="003A544F"/>
    <w:rsid w:val="003A5459"/>
    <w:rsid w:val="003A5709"/>
    <w:rsid w:val="003A648C"/>
    <w:rsid w:val="003A683A"/>
    <w:rsid w:val="003A744E"/>
    <w:rsid w:val="003A7634"/>
    <w:rsid w:val="003A7AAC"/>
    <w:rsid w:val="003B07C3"/>
    <w:rsid w:val="003B0964"/>
    <w:rsid w:val="003B0975"/>
    <w:rsid w:val="003B0B81"/>
    <w:rsid w:val="003B13C6"/>
    <w:rsid w:val="003B14B4"/>
    <w:rsid w:val="003B1880"/>
    <w:rsid w:val="003B2BC7"/>
    <w:rsid w:val="003B4AD0"/>
    <w:rsid w:val="003B67E4"/>
    <w:rsid w:val="003B6944"/>
    <w:rsid w:val="003C028B"/>
    <w:rsid w:val="003C0732"/>
    <w:rsid w:val="003C0786"/>
    <w:rsid w:val="003C0F5E"/>
    <w:rsid w:val="003C29EA"/>
    <w:rsid w:val="003C3B99"/>
    <w:rsid w:val="003C4166"/>
    <w:rsid w:val="003C41A4"/>
    <w:rsid w:val="003C4AE1"/>
    <w:rsid w:val="003C63E6"/>
    <w:rsid w:val="003C6CC1"/>
    <w:rsid w:val="003D0839"/>
    <w:rsid w:val="003D09AF"/>
    <w:rsid w:val="003D0D49"/>
    <w:rsid w:val="003D1048"/>
    <w:rsid w:val="003D208D"/>
    <w:rsid w:val="003D3856"/>
    <w:rsid w:val="003D4F43"/>
    <w:rsid w:val="003D5CFC"/>
    <w:rsid w:val="003D63A1"/>
    <w:rsid w:val="003D6CFE"/>
    <w:rsid w:val="003D76C2"/>
    <w:rsid w:val="003D7B08"/>
    <w:rsid w:val="003D7F73"/>
    <w:rsid w:val="003E0171"/>
    <w:rsid w:val="003E04D1"/>
    <w:rsid w:val="003E2F3C"/>
    <w:rsid w:val="003E3226"/>
    <w:rsid w:val="003E525C"/>
    <w:rsid w:val="003E571A"/>
    <w:rsid w:val="003E612F"/>
    <w:rsid w:val="003E6537"/>
    <w:rsid w:val="003E6CB0"/>
    <w:rsid w:val="003E745F"/>
    <w:rsid w:val="003F2020"/>
    <w:rsid w:val="003F21E5"/>
    <w:rsid w:val="003F25DB"/>
    <w:rsid w:val="003F3660"/>
    <w:rsid w:val="003F40B2"/>
    <w:rsid w:val="003F447E"/>
    <w:rsid w:val="003F4908"/>
    <w:rsid w:val="003F5445"/>
    <w:rsid w:val="003F5CCB"/>
    <w:rsid w:val="003F6C03"/>
    <w:rsid w:val="003F72E0"/>
    <w:rsid w:val="003F7B2A"/>
    <w:rsid w:val="0040054E"/>
    <w:rsid w:val="00400848"/>
    <w:rsid w:val="004013E5"/>
    <w:rsid w:val="0040366A"/>
    <w:rsid w:val="00403E93"/>
    <w:rsid w:val="004053CA"/>
    <w:rsid w:val="00405BE0"/>
    <w:rsid w:val="0040622A"/>
    <w:rsid w:val="004064B9"/>
    <w:rsid w:val="0040689F"/>
    <w:rsid w:val="00406FFB"/>
    <w:rsid w:val="0040757B"/>
    <w:rsid w:val="0041074A"/>
    <w:rsid w:val="00410A66"/>
    <w:rsid w:val="00411DF4"/>
    <w:rsid w:val="00412AE8"/>
    <w:rsid w:val="00414908"/>
    <w:rsid w:val="00414A8C"/>
    <w:rsid w:val="00414EE4"/>
    <w:rsid w:val="0041522F"/>
    <w:rsid w:val="0041640B"/>
    <w:rsid w:val="00417685"/>
    <w:rsid w:val="00420155"/>
    <w:rsid w:val="004205C8"/>
    <w:rsid w:val="004215E1"/>
    <w:rsid w:val="00421A0A"/>
    <w:rsid w:val="00421EB0"/>
    <w:rsid w:val="00422A17"/>
    <w:rsid w:val="00424857"/>
    <w:rsid w:val="00425394"/>
    <w:rsid w:val="0042578A"/>
    <w:rsid w:val="00425C41"/>
    <w:rsid w:val="00425EE3"/>
    <w:rsid w:val="0042645A"/>
    <w:rsid w:val="0042652B"/>
    <w:rsid w:val="004266C0"/>
    <w:rsid w:val="00426A9B"/>
    <w:rsid w:val="00427273"/>
    <w:rsid w:val="00427896"/>
    <w:rsid w:val="00427DFC"/>
    <w:rsid w:val="004327E0"/>
    <w:rsid w:val="00435592"/>
    <w:rsid w:val="0043588C"/>
    <w:rsid w:val="00435CB4"/>
    <w:rsid w:val="00436A56"/>
    <w:rsid w:val="00436ED5"/>
    <w:rsid w:val="00437091"/>
    <w:rsid w:val="004407D5"/>
    <w:rsid w:val="00440A94"/>
    <w:rsid w:val="00440AD4"/>
    <w:rsid w:val="00440BA2"/>
    <w:rsid w:val="00440C24"/>
    <w:rsid w:val="00440D68"/>
    <w:rsid w:val="0044249F"/>
    <w:rsid w:val="00442EB9"/>
    <w:rsid w:val="00443216"/>
    <w:rsid w:val="00443645"/>
    <w:rsid w:val="004436C1"/>
    <w:rsid w:val="00444775"/>
    <w:rsid w:val="00444EA6"/>
    <w:rsid w:val="0044587F"/>
    <w:rsid w:val="00447AB1"/>
    <w:rsid w:val="0045006D"/>
    <w:rsid w:val="0045037E"/>
    <w:rsid w:val="00451199"/>
    <w:rsid w:val="0045127F"/>
    <w:rsid w:val="004518AB"/>
    <w:rsid w:val="00452714"/>
    <w:rsid w:val="00452880"/>
    <w:rsid w:val="00452B2A"/>
    <w:rsid w:val="00452DBB"/>
    <w:rsid w:val="0045309E"/>
    <w:rsid w:val="00453340"/>
    <w:rsid w:val="00454788"/>
    <w:rsid w:val="004549AE"/>
    <w:rsid w:val="00455EBC"/>
    <w:rsid w:val="00456039"/>
    <w:rsid w:val="00456307"/>
    <w:rsid w:val="004566AD"/>
    <w:rsid w:val="0045670C"/>
    <w:rsid w:val="004578F9"/>
    <w:rsid w:val="00457BC3"/>
    <w:rsid w:val="00460C2E"/>
    <w:rsid w:val="0046106F"/>
    <w:rsid w:val="00461B1E"/>
    <w:rsid w:val="0046305B"/>
    <w:rsid w:val="00463134"/>
    <w:rsid w:val="00466033"/>
    <w:rsid w:val="00466AB7"/>
    <w:rsid w:val="00466EFA"/>
    <w:rsid w:val="00466F65"/>
    <w:rsid w:val="00467DC7"/>
    <w:rsid w:val="004726AA"/>
    <w:rsid w:val="0047350F"/>
    <w:rsid w:val="00473540"/>
    <w:rsid w:val="0047452F"/>
    <w:rsid w:val="0047487E"/>
    <w:rsid w:val="00476A84"/>
    <w:rsid w:val="00477107"/>
    <w:rsid w:val="00480497"/>
    <w:rsid w:val="00481BEE"/>
    <w:rsid w:val="00482603"/>
    <w:rsid w:val="00483F52"/>
    <w:rsid w:val="00485155"/>
    <w:rsid w:val="00485EB6"/>
    <w:rsid w:val="0048642A"/>
    <w:rsid w:val="0048643A"/>
    <w:rsid w:val="00487115"/>
    <w:rsid w:val="00487651"/>
    <w:rsid w:val="004900D9"/>
    <w:rsid w:val="00490869"/>
    <w:rsid w:val="00490886"/>
    <w:rsid w:val="00490C0E"/>
    <w:rsid w:val="0049231E"/>
    <w:rsid w:val="00493EAD"/>
    <w:rsid w:val="004940AD"/>
    <w:rsid w:val="0049455E"/>
    <w:rsid w:val="00494A86"/>
    <w:rsid w:val="00494B15"/>
    <w:rsid w:val="00496994"/>
    <w:rsid w:val="00496BB4"/>
    <w:rsid w:val="0049782B"/>
    <w:rsid w:val="00497D26"/>
    <w:rsid w:val="004A019F"/>
    <w:rsid w:val="004A05CC"/>
    <w:rsid w:val="004A1F94"/>
    <w:rsid w:val="004A2375"/>
    <w:rsid w:val="004A2757"/>
    <w:rsid w:val="004A2A49"/>
    <w:rsid w:val="004A350F"/>
    <w:rsid w:val="004A37F3"/>
    <w:rsid w:val="004A39CE"/>
    <w:rsid w:val="004A3D46"/>
    <w:rsid w:val="004A4912"/>
    <w:rsid w:val="004A4BD6"/>
    <w:rsid w:val="004A5BF1"/>
    <w:rsid w:val="004A6274"/>
    <w:rsid w:val="004A6607"/>
    <w:rsid w:val="004A6CDB"/>
    <w:rsid w:val="004A6FAA"/>
    <w:rsid w:val="004A743C"/>
    <w:rsid w:val="004B061F"/>
    <w:rsid w:val="004B0781"/>
    <w:rsid w:val="004B140A"/>
    <w:rsid w:val="004B2229"/>
    <w:rsid w:val="004B2CDD"/>
    <w:rsid w:val="004B2DBE"/>
    <w:rsid w:val="004B3662"/>
    <w:rsid w:val="004B3B6B"/>
    <w:rsid w:val="004B4989"/>
    <w:rsid w:val="004B6868"/>
    <w:rsid w:val="004B69B6"/>
    <w:rsid w:val="004B6ADC"/>
    <w:rsid w:val="004B6BAD"/>
    <w:rsid w:val="004B7BBF"/>
    <w:rsid w:val="004C0B8A"/>
    <w:rsid w:val="004C0BC0"/>
    <w:rsid w:val="004C0F61"/>
    <w:rsid w:val="004C13D9"/>
    <w:rsid w:val="004C1793"/>
    <w:rsid w:val="004C1B6F"/>
    <w:rsid w:val="004C3271"/>
    <w:rsid w:val="004C32C0"/>
    <w:rsid w:val="004C3427"/>
    <w:rsid w:val="004C384D"/>
    <w:rsid w:val="004C3CF2"/>
    <w:rsid w:val="004C405D"/>
    <w:rsid w:val="004C4D2C"/>
    <w:rsid w:val="004C5DA6"/>
    <w:rsid w:val="004C757A"/>
    <w:rsid w:val="004D04D7"/>
    <w:rsid w:val="004D0BBC"/>
    <w:rsid w:val="004D1399"/>
    <w:rsid w:val="004D1CF2"/>
    <w:rsid w:val="004D23FC"/>
    <w:rsid w:val="004D37AD"/>
    <w:rsid w:val="004D38A9"/>
    <w:rsid w:val="004D3B65"/>
    <w:rsid w:val="004D41A6"/>
    <w:rsid w:val="004D4658"/>
    <w:rsid w:val="004D5A40"/>
    <w:rsid w:val="004D71FE"/>
    <w:rsid w:val="004D74F9"/>
    <w:rsid w:val="004D75D5"/>
    <w:rsid w:val="004E00A3"/>
    <w:rsid w:val="004E0345"/>
    <w:rsid w:val="004E12BB"/>
    <w:rsid w:val="004E1AD2"/>
    <w:rsid w:val="004E1B9C"/>
    <w:rsid w:val="004E1D10"/>
    <w:rsid w:val="004E214E"/>
    <w:rsid w:val="004E2C28"/>
    <w:rsid w:val="004E3127"/>
    <w:rsid w:val="004E3528"/>
    <w:rsid w:val="004E3FEC"/>
    <w:rsid w:val="004E6071"/>
    <w:rsid w:val="004E66BC"/>
    <w:rsid w:val="004E6AD2"/>
    <w:rsid w:val="004E6DA6"/>
    <w:rsid w:val="004E7502"/>
    <w:rsid w:val="004E7743"/>
    <w:rsid w:val="004F0DC0"/>
    <w:rsid w:val="004F3E73"/>
    <w:rsid w:val="004F5628"/>
    <w:rsid w:val="004F606B"/>
    <w:rsid w:val="004F6843"/>
    <w:rsid w:val="004F6A95"/>
    <w:rsid w:val="004F6EC5"/>
    <w:rsid w:val="004F7636"/>
    <w:rsid w:val="00501031"/>
    <w:rsid w:val="00501453"/>
    <w:rsid w:val="0050190F"/>
    <w:rsid w:val="00502BA5"/>
    <w:rsid w:val="00502F67"/>
    <w:rsid w:val="005041DF"/>
    <w:rsid w:val="00504C66"/>
    <w:rsid w:val="00505766"/>
    <w:rsid w:val="00506060"/>
    <w:rsid w:val="005067A6"/>
    <w:rsid w:val="0050784F"/>
    <w:rsid w:val="005101E4"/>
    <w:rsid w:val="0051022D"/>
    <w:rsid w:val="00511CE8"/>
    <w:rsid w:val="005120CD"/>
    <w:rsid w:val="00512841"/>
    <w:rsid w:val="005129D8"/>
    <w:rsid w:val="005136B7"/>
    <w:rsid w:val="00513B69"/>
    <w:rsid w:val="00513E8C"/>
    <w:rsid w:val="00514146"/>
    <w:rsid w:val="00514BE1"/>
    <w:rsid w:val="00514E78"/>
    <w:rsid w:val="0051586B"/>
    <w:rsid w:val="00515E79"/>
    <w:rsid w:val="00517BE3"/>
    <w:rsid w:val="005201AC"/>
    <w:rsid w:val="00520A56"/>
    <w:rsid w:val="005210F2"/>
    <w:rsid w:val="0052113B"/>
    <w:rsid w:val="0052127F"/>
    <w:rsid w:val="00521848"/>
    <w:rsid w:val="00521FDB"/>
    <w:rsid w:val="005230D3"/>
    <w:rsid w:val="005233B2"/>
    <w:rsid w:val="0052388F"/>
    <w:rsid w:val="00523FFE"/>
    <w:rsid w:val="0052536B"/>
    <w:rsid w:val="005259B9"/>
    <w:rsid w:val="00525FDA"/>
    <w:rsid w:val="005266CE"/>
    <w:rsid w:val="005275C1"/>
    <w:rsid w:val="00530B90"/>
    <w:rsid w:val="0053100D"/>
    <w:rsid w:val="0053151D"/>
    <w:rsid w:val="005321AC"/>
    <w:rsid w:val="00533179"/>
    <w:rsid w:val="00533C3C"/>
    <w:rsid w:val="005350D5"/>
    <w:rsid w:val="0053524A"/>
    <w:rsid w:val="005354D4"/>
    <w:rsid w:val="005370C6"/>
    <w:rsid w:val="005376C6"/>
    <w:rsid w:val="00537D29"/>
    <w:rsid w:val="00541FCC"/>
    <w:rsid w:val="005432D8"/>
    <w:rsid w:val="005444D3"/>
    <w:rsid w:val="00544978"/>
    <w:rsid w:val="00544DCA"/>
    <w:rsid w:val="0054563A"/>
    <w:rsid w:val="00545DFB"/>
    <w:rsid w:val="00546526"/>
    <w:rsid w:val="005467FE"/>
    <w:rsid w:val="00547854"/>
    <w:rsid w:val="00547C2A"/>
    <w:rsid w:val="00550781"/>
    <w:rsid w:val="00550FE0"/>
    <w:rsid w:val="005520B6"/>
    <w:rsid w:val="00552764"/>
    <w:rsid w:val="00552B3F"/>
    <w:rsid w:val="0055300A"/>
    <w:rsid w:val="005541CC"/>
    <w:rsid w:val="005547F6"/>
    <w:rsid w:val="005548EC"/>
    <w:rsid w:val="00554A0F"/>
    <w:rsid w:val="00554F34"/>
    <w:rsid w:val="005551EE"/>
    <w:rsid w:val="00555254"/>
    <w:rsid w:val="00555B3B"/>
    <w:rsid w:val="00555D8F"/>
    <w:rsid w:val="00556CB5"/>
    <w:rsid w:val="00556EB0"/>
    <w:rsid w:val="005573BE"/>
    <w:rsid w:val="00560502"/>
    <w:rsid w:val="00561784"/>
    <w:rsid w:val="00561AB8"/>
    <w:rsid w:val="00561D38"/>
    <w:rsid w:val="00562272"/>
    <w:rsid w:val="005632F4"/>
    <w:rsid w:val="005653F5"/>
    <w:rsid w:val="00566064"/>
    <w:rsid w:val="00566AC4"/>
    <w:rsid w:val="00566ACE"/>
    <w:rsid w:val="00566FE5"/>
    <w:rsid w:val="00567255"/>
    <w:rsid w:val="00567406"/>
    <w:rsid w:val="00567499"/>
    <w:rsid w:val="00567777"/>
    <w:rsid w:val="00567F66"/>
    <w:rsid w:val="00570408"/>
    <w:rsid w:val="00570B05"/>
    <w:rsid w:val="00570C80"/>
    <w:rsid w:val="00570F51"/>
    <w:rsid w:val="00571FDE"/>
    <w:rsid w:val="00572404"/>
    <w:rsid w:val="00572BC8"/>
    <w:rsid w:val="005748E7"/>
    <w:rsid w:val="00575061"/>
    <w:rsid w:val="005775DA"/>
    <w:rsid w:val="00577CAB"/>
    <w:rsid w:val="0058020C"/>
    <w:rsid w:val="005804EF"/>
    <w:rsid w:val="00580683"/>
    <w:rsid w:val="00581AB9"/>
    <w:rsid w:val="00581B13"/>
    <w:rsid w:val="00581BAD"/>
    <w:rsid w:val="00582F20"/>
    <w:rsid w:val="00584053"/>
    <w:rsid w:val="0058449B"/>
    <w:rsid w:val="00584597"/>
    <w:rsid w:val="00585321"/>
    <w:rsid w:val="00585CEB"/>
    <w:rsid w:val="005862C6"/>
    <w:rsid w:val="00586553"/>
    <w:rsid w:val="00587D05"/>
    <w:rsid w:val="00587FF3"/>
    <w:rsid w:val="0059069B"/>
    <w:rsid w:val="00590E0B"/>
    <w:rsid w:val="00591630"/>
    <w:rsid w:val="005920F9"/>
    <w:rsid w:val="005923BB"/>
    <w:rsid w:val="00592C1B"/>
    <w:rsid w:val="00592EFF"/>
    <w:rsid w:val="005932DE"/>
    <w:rsid w:val="005938AC"/>
    <w:rsid w:val="00594B11"/>
    <w:rsid w:val="005954C5"/>
    <w:rsid w:val="005957C2"/>
    <w:rsid w:val="00595B69"/>
    <w:rsid w:val="00595D34"/>
    <w:rsid w:val="005961D2"/>
    <w:rsid w:val="00596609"/>
    <w:rsid w:val="00597011"/>
    <w:rsid w:val="0059714A"/>
    <w:rsid w:val="00597D5A"/>
    <w:rsid w:val="00597D63"/>
    <w:rsid w:val="005A0356"/>
    <w:rsid w:val="005A0D87"/>
    <w:rsid w:val="005A1416"/>
    <w:rsid w:val="005A40C7"/>
    <w:rsid w:val="005A4FFF"/>
    <w:rsid w:val="005A76E2"/>
    <w:rsid w:val="005A7910"/>
    <w:rsid w:val="005B1083"/>
    <w:rsid w:val="005B1BB5"/>
    <w:rsid w:val="005B1DCB"/>
    <w:rsid w:val="005B248F"/>
    <w:rsid w:val="005B2E1F"/>
    <w:rsid w:val="005B4636"/>
    <w:rsid w:val="005B4735"/>
    <w:rsid w:val="005B550E"/>
    <w:rsid w:val="005B5BA4"/>
    <w:rsid w:val="005B5C3F"/>
    <w:rsid w:val="005B67D7"/>
    <w:rsid w:val="005B6AF8"/>
    <w:rsid w:val="005B6B54"/>
    <w:rsid w:val="005B6D36"/>
    <w:rsid w:val="005B7E39"/>
    <w:rsid w:val="005C046F"/>
    <w:rsid w:val="005C0DAB"/>
    <w:rsid w:val="005C174C"/>
    <w:rsid w:val="005C4A2B"/>
    <w:rsid w:val="005C51A2"/>
    <w:rsid w:val="005C609F"/>
    <w:rsid w:val="005C62C8"/>
    <w:rsid w:val="005C65A7"/>
    <w:rsid w:val="005C66C8"/>
    <w:rsid w:val="005C7C09"/>
    <w:rsid w:val="005C7D03"/>
    <w:rsid w:val="005C7F8F"/>
    <w:rsid w:val="005D021E"/>
    <w:rsid w:val="005D0D46"/>
    <w:rsid w:val="005D1734"/>
    <w:rsid w:val="005D27C4"/>
    <w:rsid w:val="005D3296"/>
    <w:rsid w:val="005D32F6"/>
    <w:rsid w:val="005D36DE"/>
    <w:rsid w:val="005D42D3"/>
    <w:rsid w:val="005D4CCA"/>
    <w:rsid w:val="005D656D"/>
    <w:rsid w:val="005D669B"/>
    <w:rsid w:val="005D674D"/>
    <w:rsid w:val="005E0862"/>
    <w:rsid w:val="005E2B2E"/>
    <w:rsid w:val="005E381A"/>
    <w:rsid w:val="005E3920"/>
    <w:rsid w:val="005E39C0"/>
    <w:rsid w:val="005E39FC"/>
    <w:rsid w:val="005E553C"/>
    <w:rsid w:val="005E6404"/>
    <w:rsid w:val="005E6441"/>
    <w:rsid w:val="005E7083"/>
    <w:rsid w:val="005E74A4"/>
    <w:rsid w:val="005E7827"/>
    <w:rsid w:val="005F1EAE"/>
    <w:rsid w:val="005F2E1D"/>
    <w:rsid w:val="005F3310"/>
    <w:rsid w:val="005F340F"/>
    <w:rsid w:val="005F342A"/>
    <w:rsid w:val="005F3F59"/>
    <w:rsid w:val="005F41CA"/>
    <w:rsid w:val="005F42F5"/>
    <w:rsid w:val="005F486C"/>
    <w:rsid w:val="005F4AC0"/>
    <w:rsid w:val="005F503A"/>
    <w:rsid w:val="005F589A"/>
    <w:rsid w:val="005F5E7E"/>
    <w:rsid w:val="005F6D4D"/>
    <w:rsid w:val="005F6F88"/>
    <w:rsid w:val="005F726F"/>
    <w:rsid w:val="005F75A1"/>
    <w:rsid w:val="005F7684"/>
    <w:rsid w:val="005F7DC7"/>
    <w:rsid w:val="006001F1"/>
    <w:rsid w:val="00600739"/>
    <w:rsid w:val="0060295C"/>
    <w:rsid w:val="00602A80"/>
    <w:rsid w:val="00602B11"/>
    <w:rsid w:val="00602CE3"/>
    <w:rsid w:val="00603A00"/>
    <w:rsid w:val="006041E8"/>
    <w:rsid w:val="006044F0"/>
    <w:rsid w:val="00605A67"/>
    <w:rsid w:val="00605B0A"/>
    <w:rsid w:val="00606374"/>
    <w:rsid w:val="0060641D"/>
    <w:rsid w:val="00606A61"/>
    <w:rsid w:val="00606BD0"/>
    <w:rsid w:val="00606DF2"/>
    <w:rsid w:val="00607CDD"/>
    <w:rsid w:val="00607F2B"/>
    <w:rsid w:val="0061318C"/>
    <w:rsid w:val="006131FB"/>
    <w:rsid w:val="0061332B"/>
    <w:rsid w:val="00613377"/>
    <w:rsid w:val="006139CA"/>
    <w:rsid w:val="00614011"/>
    <w:rsid w:val="006142E9"/>
    <w:rsid w:val="00614FA7"/>
    <w:rsid w:val="006156D3"/>
    <w:rsid w:val="006156E8"/>
    <w:rsid w:val="00615F8E"/>
    <w:rsid w:val="006164EA"/>
    <w:rsid w:val="00617FE6"/>
    <w:rsid w:val="006209C2"/>
    <w:rsid w:val="00620A53"/>
    <w:rsid w:val="00621778"/>
    <w:rsid w:val="00621814"/>
    <w:rsid w:val="00621903"/>
    <w:rsid w:val="0062226D"/>
    <w:rsid w:val="0062238F"/>
    <w:rsid w:val="00622A33"/>
    <w:rsid w:val="00622B03"/>
    <w:rsid w:val="00622CD9"/>
    <w:rsid w:val="0062304B"/>
    <w:rsid w:val="00623726"/>
    <w:rsid w:val="00623DC0"/>
    <w:rsid w:val="006243D3"/>
    <w:rsid w:val="00624527"/>
    <w:rsid w:val="00624528"/>
    <w:rsid w:val="00626890"/>
    <w:rsid w:val="00626A13"/>
    <w:rsid w:val="00626AE9"/>
    <w:rsid w:val="006271A6"/>
    <w:rsid w:val="00627C36"/>
    <w:rsid w:val="00630B49"/>
    <w:rsid w:val="00631457"/>
    <w:rsid w:val="0063368E"/>
    <w:rsid w:val="00635131"/>
    <w:rsid w:val="00635694"/>
    <w:rsid w:val="006361CB"/>
    <w:rsid w:val="006362D6"/>
    <w:rsid w:val="00636C06"/>
    <w:rsid w:val="00637B1A"/>
    <w:rsid w:val="006406FD"/>
    <w:rsid w:val="00640D93"/>
    <w:rsid w:val="00642686"/>
    <w:rsid w:val="00642F97"/>
    <w:rsid w:val="00643872"/>
    <w:rsid w:val="00643BBE"/>
    <w:rsid w:val="006440E5"/>
    <w:rsid w:val="00644326"/>
    <w:rsid w:val="00644DAE"/>
    <w:rsid w:val="0064512A"/>
    <w:rsid w:val="0064623B"/>
    <w:rsid w:val="0064688A"/>
    <w:rsid w:val="00646CBA"/>
    <w:rsid w:val="00646F76"/>
    <w:rsid w:val="00651617"/>
    <w:rsid w:val="00651A7E"/>
    <w:rsid w:val="00651F31"/>
    <w:rsid w:val="00651FA6"/>
    <w:rsid w:val="0065263B"/>
    <w:rsid w:val="00652643"/>
    <w:rsid w:val="00653618"/>
    <w:rsid w:val="00653751"/>
    <w:rsid w:val="00654068"/>
    <w:rsid w:val="0065514F"/>
    <w:rsid w:val="00655264"/>
    <w:rsid w:val="00656B4B"/>
    <w:rsid w:val="0066134F"/>
    <w:rsid w:val="0066249C"/>
    <w:rsid w:val="0066313A"/>
    <w:rsid w:val="006632AF"/>
    <w:rsid w:val="0066352C"/>
    <w:rsid w:val="00663A45"/>
    <w:rsid w:val="00663EB7"/>
    <w:rsid w:val="00663F26"/>
    <w:rsid w:val="00663F2F"/>
    <w:rsid w:val="0066463E"/>
    <w:rsid w:val="00664962"/>
    <w:rsid w:val="00664BAD"/>
    <w:rsid w:val="00665E57"/>
    <w:rsid w:val="00666128"/>
    <w:rsid w:val="00666D75"/>
    <w:rsid w:val="0066776D"/>
    <w:rsid w:val="00667785"/>
    <w:rsid w:val="006678A8"/>
    <w:rsid w:val="00667B2F"/>
    <w:rsid w:val="00670C62"/>
    <w:rsid w:val="006712C7"/>
    <w:rsid w:val="0067295F"/>
    <w:rsid w:val="0067402E"/>
    <w:rsid w:val="00674093"/>
    <w:rsid w:val="00674386"/>
    <w:rsid w:val="00674804"/>
    <w:rsid w:val="00674B13"/>
    <w:rsid w:val="00674E09"/>
    <w:rsid w:val="00676AEC"/>
    <w:rsid w:val="006770FA"/>
    <w:rsid w:val="0067734C"/>
    <w:rsid w:val="00681BBB"/>
    <w:rsid w:val="00681D82"/>
    <w:rsid w:val="00681FE3"/>
    <w:rsid w:val="0068321B"/>
    <w:rsid w:val="00685A5F"/>
    <w:rsid w:val="00686DA7"/>
    <w:rsid w:val="00687D98"/>
    <w:rsid w:val="00687F17"/>
    <w:rsid w:val="0069012C"/>
    <w:rsid w:val="0069145A"/>
    <w:rsid w:val="00691876"/>
    <w:rsid w:val="00691AD7"/>
    <w:rsid w:val="00692A4A"/>
    <w:rsid w:val="00693926"/>
    <w:rsid w:val="00693BEA"/>
    <w:rsid w:val="00694FB1"/>
    <w:rsid w:val="0069528D"/>
    <w:rsid w:val="00695EEE"/>
    <w:rsid w:val="0069637D"/>
    <w:rsid w:val="00697D57"/>
    <w:rsid w:val="006A0117"/>
    <w:rsid w:val="006A048C"/>
    <w:rsid w:val="006A3E47"/>
    <w:rsid w:val="006A4A9C"/>
    <w:rsid w:val="006A5965"/>
    <w:rsid w:val="006A5A17"/>
    <w:rsid w:val="006A78ED"/>
    <w:rsid w:val="006A7AEA"/>
    <w:rsid w:val="006A7CBF"/>
    <w:rsid w:val="006B00DF"/>
    <w:rsid w:val="006B063E"/>
    <w:rsid w:val="006B0DC1"/>
    <w:rsid w:val="006B1CD2"/>
    <w:rsid w:val="006B36EC"/>
    <w:rsid w:val="006B3795"/>
    <w:rsid w:val="006B441A"/>
    <w:rsid w:val="006B4520"/>
    <w:rsid w:val="006B48F2"/>
    <w:rsid w:val="006B5F81"/>
    <w:rsid w:val="006B7020"/>
    <w:rsid w:val="006C0059"/>
    <w:rsid w:val="006C008F"/>
    <w:rsid w:val="006C1207"/>
    <w:rsid w:val="006C23DC"/>
    <w:rsid w:val="006C3583"/>
    <w:rsid w:val="006C41DC"/>
    <w:rsid w:val="006C50A5"/>
    <w:rsid w:val="006C69DE"/>
    <w:rsid w:val="006D0819"/>
    <w:rsid w:val="006D0A8A"/>
    <w:rsid w:val="006D168C"/>
    <w:rsid w:val="006D392F"/>
    <w:rsid w:val="006D5206"/>
    <w:rsid w:val="006D5A9D"/>
    <w:rsid w:val="006D5D4C"/>
    <w:rsid w:val="006D5D83"/>
    <w:rsid w:val="006D645A"/>
    <w:rsid w:val="006D6B39"/>
    <w:rsid w:val="006E104C"/>
    <w:rsid w:val="006E20C2"/>
    <w:rsid w:val="006E2448"/>
    <w:rsid w:val="006E2F42"/>
    <w:rsid w:val="006E326B"/>
    <w:rsid w:val="006E3526"/>
    <w:rsid w:val="006E3B1F"/>
    <w:rsid w:val="006E4283"/>
    <w:rsid w:val="006E4BB6"/>
    <w:rsid w:val="006E52F9"/>
    <w:rsid w:val="006E5C08"/>
    <w:rsid w:val="006E73B4"/>
    <w:rsid w:val="006E7469"/>
    <w:rsid w:val="006E789F"/>
    <w:rsid w:val="006F1100"/>
    <w:rsid w:val="006F204F"/>
    <w:rsid w:val="006F2D8B"/>
    <w:rsid w:val="006F2E79"/>
    <w:rsid w:val="006F30D5"/>
    <w:rsid w:val="006F30DF"/>
    <w:rsid w:val="006F3436"/>
    <w:rsid w:val="006F5ACD"/>
    <w:rsid w:val="006F5CBD"/>
    <w:rsid w:val="006F6CA1"/>
    <w:rsid w:val="006F7DCF"/>
    <w:rsid w:val="00700BA2"/>
    <w:rsid w:val="00701D55"/>
    <w:rsid w:val="00701E95"/>
    <w:rsid w:val="00702E77"/>
    <w:rsid w:val="00703588"/>
    <w:rsid w:val="00703610"/>
    <w:rsid w:val="00704D14"/>
    <w:rsid w:val="00706814"/>
    <w:rsid w:val="00706EC0"/>
    <w:rsid w:val="0070783C"/>
    <w:rsid w:val="00707DF7"/>
    <w:rsid w:val="007116ED"/>
    <w:rsid w:val="0071174C"/>
    <w:rsid w:val="00712322"/>
    <w:rsid w:val="00712381"/>
    <w:rsid w:val="00712709"/>
    <w:rsid w:val="0071444A"/>
    <w:rsid w:val="007147A3"/>
    <w:rsid w:val="007147E2"/>
    <w:rsid w:val="007155E9"/>
    <w:rsid w:val="00716D24"/>
    <w:rsid w:val="0071755E"/>
    <w:rsid w:val="00720BC6"/>
    <w:rsid w:val="00720BCC"/>
    <w:rsid w:val="00720D60"/>
    <w:rsid w:val="0072204F"/>
    <w:rsid w:val="0072262D"/>
    <w:rsid w:val="00722E8B"/>
    <w:rsid w:val="00723DF8"/>
    <w:rsid w:val="00724B45"/>
    <w:rsid w:val="00725415"/>
    <w:rsid w:val="00725585"/>
    <w:rsid w:val="00725E64"/>
    <w:rsid w:val="00726837"/>
    <w:rsid w:val="007268DE"/>
    <w:rsid w:val="0072740E"/>
    <w:rsid w:val="007278E5"/>
    <w:rsid w:val="007279FD"/>
    <w:rsid w:val="00730BDE"/>
    <w:rsid w:val="00730EF6"/>
    <w:rsid w:val="00730F21"/>
    <w:rsid w:val="00731607"/>
    <w:rsid w:val="0073213A"/>
    <w:rsid w:val="00732394"/>
    <w:rsid w:val="00732E6F"/>
    <w:rsid w:val="007347EA"/>
    <w:rsid w:val="007349BA"/>
    <w:rsid w:val="00735463"/>
    <w:rsid w:val="007358C6"/>
    <w:rsid w:val="00735BB7"/>
    <w:rsid w:val="00735D8E"/>
    <w:rsid w:val="00736A90"/>
    <w:rsid w:val="007372DF"/>
    <w:rsid w:val="007376EF"/>
    <w:rsid w:val="007410E6"/>
    <w:rsid w:val="00742772"/>
    <w:rsid w:val="00742BA4"/>
    <w:rsid w:val="00746B1C"/>
    <w:rsid w:val="00747693"/>
    <w:rsid w:val="00747ACB"/>
    <w:rsid w:val="00750289"/>
    <w:rsid w:val="007504F5"/>
    <w:rsid w:val="0075110E"/>
    <w:rsid w:val="00751E31"/>
    <w:rsid w:val="00751ED9"/>
    <w:rsid w:val="007522C2"/>
    <w:rsid w:val="00752C1C"/>
    <w:rsid w:val="0075356E"/>
    <w:rsid w:val="007545C6"/>
    <w:rsid w:val="00754F22"/>
    <w:rsid w:val="007553F4"/>
    <w:rsid w:val="00755E8B"/>
    <w:rsid w:val="0075651F"/>
    <w:rsid w:val="00756DB9"/>
    <w:rsid w:val="0075758C"/>
    <w:rsid w:val="0076033E"/>
    <w:rsid w:val="007605D5"/>
    <w:rsid w:val="007611DB"/>
    <w:rsid w:val="00761E36"/>
    <w:rsid w:val="00762743"/>
    <w:rsid w:val="00763A0B"/>
    <w:rsid w:val="00764955"/>
    <w:rsid w:val="00764DDB"/>
    <w:rsid w:val="00764F8A"/>
    <w:rsid w:val="007667FA"/>
    <w:rsid w:val="0076789D"/>
    <w:rsid w:val="00767CE5"/>
    <w:rsid w:val="0077069E"/>
    <w:rsid w:val="007710CE"/>
    <w:rsid w:val="00771225"/>
    <w:rsid w:val="0077255A"/>
    <w:rsid w:val="0077408C"/>
    <w:rsid w:val="00775619"/>
    <w:rsid w:val="00776079"/>
    <w:rsid w:val="007765A3"/>
    <w:rsid w:val="007769DE"/>
    <w:rsid w:val="00776B22"/>
    <w:rsid w:val="007770AF"/>
    <w:rsid w:val="007810BE"/>
    <w:rsid w:val="0078132D"/>
    <w:rsid w:val="0078154B"/>
    <w:rsid w:val="00781941"/>
    <w:rsid w:val="007820C6"/>
    <w:rsid w:val="007821C9"/>
    <w:rsid w:val="0078286A"/>
    <w:rsid w:val="00782908"/>
    <w:rsid w:val="00784C1F"/>
    <w:rsid w:val="00784FC9"/>
    <w:rsid w:val="007861CD"/>
    <w:rsid w:val="00786AC8"/>
    <w:rsid w:val="007903D6"/>
    <w:rsid w:val="0079093A"/>
    <w:rsid w:val="007909DD"/>
    <w:rsid w:val="0079125B"/>
    <w:rsid w:val="007918B0"/>
    <w:rsid w:val="0079290B"/>
    <w:rsid w:val="00793ECA"/>
    <w:rsid w:val="007940CA"/>
    <w:rsid w:val="007942E2"/>
    <w:rsid w:val="007946CE"/>
    <w:rsid w:val="00794FD5"/>
    <w:rsid w:val="00795336"/>
    <w:rsid w:val="00795670"/>
    <w:rsid w:val="00795F6C"/>
    <w:rsid w:val="00796164"/>
    <w:rsid w:val="0079637A"/>
    <w:rsid w:val="00796AC5"/>
    <w:rsid w:val="00796D5C"/>
    <w:rsid w:val="00796F5E"/>
    <w:rsid w:val="00797FDC"/>
    <w:rsid w:val="007A03DD"/>
    <w:rsid w:val="007A1882"/>
    <w:rsid w:val="007A24A1"/>
    <w:rsid w:val="007A28F7"/>
    <w:rsid w:val="007A348A"/>
    <w:rsid w:val="007A443E"/>
    <w:rsid w:val="007A6BC3"/>
    <w:rsid w:val="007A72F8"/>
    <w:rsid w:val="007A7A17"/>
    <w:rsid w:val="007A7A90"/>
    <w:rsid w:val="007B0E1D"/>
    <w:rsid w:val="007B0FEF"/>
    <w:rsid w:val="007B17F3"/>
    <w:rsid w:val="007B1C4D"/>
    <w:rsid w:val="007B255B"/>
    <w:rsid w:val="007B288B"/>
    <w:rsid w:val="007B2896"/>
    <w:rsid w:val="007B3052"/>
    <w:rsid w:val="007B3C2B"/>
    <w:rsid w:val="007B4B92"/>
    <w:rsid w:val="007B5CC4"/>
    <w:rsid w:val="007B64B2"/>
    <w:rsid w:val="007B6945"/>
    <w:rsid w:val="007B6C2A"/>
    <w:rsid w:val="007C0A01"/>
    <w:rsid w:val="007C0A14"/>
    <w:rsid w:val="007C1C3A"/>
    <w:rsid w:val="007C335E"/>
    <w:rsid w:val="007C4CB9"/>
    <w:rsid w:val="007C54EE"/>
    <w:rsid w:val="007C5724"/>
    <w:rsid w:val="007C74A5"/>
    <w:rsid w:val="007C762B"/>
    <w:rsid w:val="007D0A54"/>
    <w:rsid w:val="007D0D91"/>
    <w:rsid w:val="007D1E0B"/>
    <w:rsid w:val="007D30BE"/>
    <w:rsid w:val="007D34B0"/>
    <w:rsid w:val="007D407D"/>
    <w:rsid w:val="007D490D"/>
    <w:rsid w:val="007D6B80"/>
    <w:rsid w:val="007D7725"/>
    <w:rsid w:val="007E0609"/>
    <w:rsid w:val="007E083A"/>
    <w:rsid w:val="007E1A6C"/>
    <w:rsid w:val="007E238E"/>
    <w:rsid w:val="007E28FF"/>
    <w:rsid w:val="007E2AD9"/>
    <w:rsid w:val="007E3DD7"/>
    <w:rsid w:val="007E5101"/>
    <w:rsid w:val="007E6138"/>
    <w:rsid w:val="007E6DF6"/>
    <w:rsid w:val="007F016C"/>
    <w:rsid w:val="007F0581"/>
    <w:rsid w:val="007F05BC"/>
    <w:rsid w:val="007F065D"/>
    <w:rsid w:val="007F1091"/>
    <w:rsid w:val="007F1160"/>
    <w:rsid w:val="007F17A5"/>
    <w:rsid w:val="007F189E"/>
    <w:rsid w:val="007F1A71"/>
    <w:rsid w:val="007F3307"/>
    <w:rsid w:val="007F40E0"/>
    <w:rsid w:val="007F5BB6"/>
    <w:rsid w:val="007F5CF7"/>
    <w:rsid w:val="007F5EC5"/>
    <w:rsid w:val="007F5FA2"/>
    <w:rsid w:val="007F63BB"/>
    <w:rsid w:val="007F6A5F"/>
    <w:rsid w:val="007F70B2"/>
    <w:rsid w:val="007F7547"/>
    <w:rsid w:val="007F7AF5"/>
    <w:rsid w:val="00800613"/>
    <w:rsid w:val="00800DA2"/>
    <w:rsid w:val="008028CD"/>
    <w:rsid w:val="00802900"/>
    <w:rsid w:val="00803CBF"/>
    <w:rsid w:val="00805C2C"/>
    <w:rsid w:val="008071F7"/>
    <w:rsid w:val="008114AC"/>
    <w:rsid w:val="00811BC0"/>
    <w:rsid w:val="00812256"/>
    <w:rsid w:val="00812A4A"/>
    <w:rsid w:val="00812AEB"/>
    <w:rsid w:val="00812F62"/>
    <w:rsid w:val="008134B2"/>
    <w:rsid w:val="0081360A"/>
    <w:rsid w:val="00814AD2"/>
    <w:rsid w:val="00814C5E"/>
    <w:rsid w:val="0081505D"/>
    <w:rsid w:val="008155A7"/>
    <w:rsid w:val="008162FB"/>
    <w:rsid w:val="008163F1"/>
    <w:rsid w:val="0081668F"/>
    <w:rsid w:val="00821802"/>
    <w:rsid w:val="008229EC"/>
    <w:rsid w:val="00825E3D"/>
    <w:rsid w:val="0082690E"/>
    <w:rsid w:val="00826F33"/>
    <w:rsid w:val="00827013"/>
    <w:rsid w:val="008272C0"/>
    <w:rsid w:val="008274AD"/>
    <w:rsid w:val="00831589"/>
    <w:rsid w:val="00831CD6"/>
    <w:rsid w:val="008328BD"/>
    <w:rsid w:val="00833209"/>
    <w:rsid w:val="008340FE"/>
    <w:rsid w:val="00834766"/>
    <w:rsid w:val="008348AE"/>
    <w:rsid w:val="00834AEC"/>
    <w:rsid w:val="008350BE"/>
    <w:rsid w:val="0083513F"/>
    <w:rsid w:val="00835570"/>
    <w:rsid w:val="00835936"/>
    <w:rsid w:val="00835AFD"/>
    <w:rsid w:val="00836D6E"/>
    <w:rsid w:val="00836E6A"/>
    <w:rsid w:val="00837A74"/>
    <w:rsid w:val="00837AC2"/>
    <w:rsid w:val="00837AED"/>
    <w:rsid w:val="00837BBD"/>
    <w:rsid w:val="00837C33"/>
    <w:rsid w:val="008401E0"/>
    <w:rsid w:val="00840298"/>
    <w:rsid w:val="008407E0"/>
    <w:rsid w:val="00841093"/>
    <w:rsid w:val="00841455"/>
    <w:rsid w:val="008414AA"/>
    <w:rsid w:val="0084230F"/>
    <w:rsid w:val="00843801"/>
    <w:rsid w:val="008445B3"/>
    <w:rsid w:val="00847FC0"/>
    <w:rsid w:val="00850EDD"/>
    <w:rsid w:val="00851201"/>
    <w:rsid w:val="00851763"/>
    <w:rsid w:val="00851770"/>
    <w:rsid w:val="00851B6D"/>
    <w:rsid w:val="00851C0E"/>
    <w:rsid w:val="008526CB"/>
    <w:rsid w:val="00852E28"/>
    <w:rsid w:val="0085429F"/>
    <w:rsid w:val="0085456D"/>
    <w:rsid w:val="00855DC7"/>
    <w:rsid w:val="0085724A"/>
    <w:rsid w:val="008576EA"/>
    <w:rsid w:val="008609D2"/>
    <w:rsid w:val="008613E1"/>
    <w:rsid w:val="0086205A"/>
    <w:rsid w:val="00862C91"/>
    <w:rsid w:val="008632A1"/>
    <w:rsid w:val="0086356E"/>
    <w:rsid w:val="00864D30"/>
    <w:rsid w:val="008664FA"/>
    <w:rsid w:val="00867D65"/>
    <w:rsid w:val="00867DFF"/>
    <w:rsid w:val="00871D11"/>
    <w:rsid w:val="00872121"/>
    <w:rsid w:val="008722FE"/>
    <w:rsid w:val="008743FD"/>
    <w:rsid w:val="0087726B"/>
    <w:rsid w:val="0087729B"/>
    <w:rsid w:val="00880E9C"/>
    <w:rsid w:val="00881148"/>
    <w:rsid w:val="008814B5"/>
    <w:rsid w:val="00881BEA"/>
    <w:rsid w:val="0088379F"/>
    <w:rsid w:val="008843B2"/>
    <w:rsid w:val="008847E8"/>
    <w:rsid w:val="00884E0A"/>
    <w:rsid w:val="0088569A"/>
    <w:rsid w:val="00885C20"/>
    <w:rsid w:val="008866F0"/>
    <w:rsid w:val="008875F6"/>
    <w:rsid w:val="00887DF4"/>
    <w:rsid w:val="00891114"/>
    <w:rsid w:val="00893677"/>
    <w:rsid w:val="00894B87"/>
    <w:rsid w:val="008950F6"/>
    <w:rsid w:val="008958AC"/>
    <w:rsid w:val="00896168"/>
    <w:rsid w:val="008965CC"/>
    <w:rsid w:val="0089687A"/>
    <w:rsid w:val="00896A3C"/>
    <w:rsid w:val="00897FDD"/>
    <w:rsid w:val="008A164B"/>
    <w:rsid w:val="008A1D24"/>
    <w:rsid w:val="008A20A8"/>
    <w:rsid w:val="008A32A0"/>
    <w:rsid w:val="008A3A1F"/>
    <w:rsid w:val="008A3C67"/>
    <w:rsid w:val="008A3DAA"/>
    <w:rsid w:val="008A4F4F"/>
    <w:rsid w:val="008A4F78"/>
    <w:rsid w:val="008A52A4"/>
    <w:rsid w:val="008A58FE"/>
    <w:rsid w:val="008A5B1C"/>
    <w:rsid w:val="008A5D77"/>
    <w:rsid w:val="008A5EE5"/>
    <w:rsid w:val="008A62D2"/>
    <w:rsid w:val="008A76D9"/>
    <w:rsid w:val="008A7FF3"/>
    <w:rsid w:val="008B022D"/>
    <w:rsid w:val="008B05C9"/>
    <w:rsid w:val="008B1D97"/>
    <w:rsid w:val="008B20DE"/>
    <w:rsid w:val="008B2EBD"/>
    <w:rsid w:val="008B32A0"/>
    <w:rsid w:val="008B400D"/>
    <w:rsid w:val="008B4CD3"/>
    <w:rsid w:val="008B5050"/>
    <w:rsid w:val="008B5B79"/>
    <w:rsid w:val="008B652E"/>
    <w:rsid w:val="008B7030"/>
    <w:rsid w:val="008B7EBA"/>
    <w:rsid w:val="008C0808"/>
    <w:rsid w:val="008C16B3"/>
    <w:rsid w:val="008C1A22"/>
    <w:rsid w:val="008C1F64"/>
    <w:rsid w:val="008C2D5D"/>
    <w:rsid w:val="008C2F84"/>
    <w:rsid w:val="008C3265"/>
    <w:rsid w:val="008C48D8"/>
    <w:rsid w:val="008C5130"/>
    <w:rsid w:val="008C55B6"/>
    <w:rsid w:val="008C5934"/>
    <w:rsid w:val="008C61B7"/>
    <w:rsid w:val="008C62EC"/>
    <w:rsid w:val="008C7FFD"/>
    <w:rsid w:val="008D0AF3"/>
    <w:rsid w:val="008D1EFF"/>
    <w:rsid w:val="008D2036"/>
    <w:rsid w:val="008D2E1E"/>
    <w:rsid w:val="008D2F87"/>
    <w:rsid w:val="008D357B"/>
    <w:rsid w:val="008D3668"/>
    <w:rsid w:val="008D4E58"/>
    <w:rsid w:val="008D5C3E"/>
    <w:rsid w:val="008D5E38"/>
    <w:rsid w:val="008D602E"/>
    <w:rsid w:val="008D71C3"/>
    <w:rsid w:val="008D7411"/>
    <w:rsid w:val="008D74BC"/>
    <w:rsid w:val="008E089F"/>
    <w:rsid w:val="008E0CD8"/>
    <w:rsid w:val="008E102C"/>
    <w:rsid w:val="008E11BF"/>
    <w:rsid w:val="008E11D8"/>
    <w:rsid w:val="008E3910"/>
    <w:rsid w:val="008E3EF4"/>
    <w:rsid w:val="008E52B1"/>
    <w:rsid w:val="008E5CDC"/>
    <w:rsid w:val="008E63A0"/>
    <w:rsid w:val="008E6589"/>
    <w:rsid w:val="008F0213"/>
    <w:rsid w:val="008F0827"/>
    <w:rsid w:val="008F0B07"/>
    <w:rsid w:val="008F10AB"/>
    <w:rsid w:val="008F2257"/>
    <w:rsid w:val="008F25FF"/>
    <w:rsid w:val="008F2CCA"/>
    <w:rsid w:val="008F3214"/>
    <w:rsid w:val="008F3369"/>
    <w:rsid w:val="008F38F1"/>
    <w:rsid w:val="008F3DAD"/>
    <w:rsid w:val="008F406F"/>
    <w:rsid w:val="008F4243"/>
    <w:rsid w:val="008F5096"/>
    <w:rsid w:val="008F6A89"/>
    <w:rsid w:val="008F754B"/>
    <w:rsid w:val="008F767D"/>
    <w:rsid w:val="008F79AE"/>
    <w:rsid w:val="00900AFC"/>
    <w:rsid w:val="00900FB1"/>
    <w:rsid w:val="009023B3"/>
    <w:rsid w:val="00902414"/>
    <w:rsid w:val="009026A1"/>
    <w:rsid w:val="00902C59"/>
    <w:rsid w:val="00902D12"/>
    <w:rsid w:val="00902ED8"/>
    <w:rsid w:val="00903550"/>
    <w:rsid w:val="009039CF"/>
    <w:rsid w:val="0090504F"/>
    <w:rsid w:val="00905078"/>
    <w:rsid w:val="00906228"/>
    <w:rsid w:val="00906E30"/>
    <w:rsid w:val="00907596"/>
    <w:rsid w:val="009078A9"/>
    <w:rsid w:val="00907AF2"/>
    <w:rsid w:val="009111BE"/>
    <w:rsid w:val="00911B7A"/>
    <w:rsid w:val="00911D49"/>
    <w:rsid w:val="00911F73"/>
    <w:rsid w:val="009125CC"/>
    <w:rsid w:val="009131C3"/>
    <w:rsid w:val="00913883"/>
    <w:rsid w:val="009139BF"/>
    <w:rsid w:val="0091400B"/>
    <w:rsid w:val="00914294"/>
    <w:rsid w:val="009143B8"/>
    <w:rsid w:val="009147BE"/>
    <w:rsid w:val="00914D21"/>
    <w:rsid w:val="00915176"/>
    <w:rsid w:val="00915AE1"/>
    <w:rsid w:val="00916144"/>
    <w:rsid w:val="009168FC"/>
    <w:rsid w:val="00916930"/>
    <w:rsid w:val="00917FBB"/>
    <w:rsid w:val="00921215"/>
    <w:rsid w:val="009220B9"/>
    <w:rsid w:val="009228DE"/>
    <w:rsid w:val="0092396D"/>
    <w:rsid w:val="00923F07"/>
    <w:rsid w:val="00924A92"/>
    <w:rsid w:val="00924EE1"/>
    <w:rsid w:val="009251D8"/>
    <w:rsid w:val="009252B3"/>
    <w:rsid w:val="0092548A"/>
    <w:rsid w:val="009263DD"/>
    <w:rsid w:val="0092716F"/>
    <w:rsid w:val="009301F1"/>
    <w:rsid w:val="00931E4C"/>
    <w:rsid w:val="00932D81"/>
    <w:rsid w:val="00933052"/>
    <w:rsid w:val="0093377B"/>
    <w:rsid w:val="009343BC"/>
    <w:rsid w:val="00934D3D"/>
    <w:rsid w:val="0093627E"/>
    <w:rsid w:val="00936746"/>
    <w:rsid w:val="00940DE1"/>
    <w:rsid w:val="0094179B"/>
    <w:rsid w:val="0094195C"/>
    <w:rsid w:val="009420B5"/>
    <w:rsid w:val="0094273A"/>
    <w:rsid w:val="009429D0"/>
    <w:rsid w:val="00942EC1"/>
    <w:rsid w:val="009434E4"/>
    <w:rsid w:val="00943637"/>
    <w:rsid w:val="009436D2"/>
    <w:rsid w:val="00943A0F"/>
    <w:rsid w:val="009454B1"/>
    <w:rsid w:val="00945787"/>
    <w:rsid w:val="0094597A"/>
    <w:rsid w:val="00945ED5"/>
    <w:rsid w:val="0094626A"/>
    <w:rsid w:val="00946639"/>
    <w:rsid w:val="009503A9"/>
    <w:rsid w:val="0095137C"/>
    <w:rsid w:val="00951744"/>
    <w:rsid w:val="00951D7C"/>
    <w:rsid w:val="00952417"/>
    <w:rsid w:val="0095264C"/>
    <w:rsid w:val="009528B0"/>
    <w:rsid w:val="00953805"/>
    <w:rsid w:val="0095384D"/>
    <w:rsid w:val="0095388E"/>
    <w:rsid w:val="00953E53"/>
    <w:rsid w:val="00954642"/>
    <w:rsid w:val="00954935"/>
    <w:rsid w:val="00954EFD"/>
    <w:rsid w:val="009550EB"/>
    <w:rsid w:val="009553A4"/>
    <w:rsid w:val="00956AFB"/>
    <w:rsid w:val="0095701B"/>
    <w:rsid w:val="00957436"/>
    <w:rsid w:val="009575A4"/>
    <w:rsid w:val="009579BC"/>
    <w:rsid w:val="009603BC"/>
    <w:rsid w:val="009608CE"/>
    <w:rsid w:val="00960DFB"/>
    <w:rsid w:val="0096203E"/>
    <w:rsid w:val="00962744"/>
    <w:rsid w:val="0096311D"/>
    <w:rsid w:val="009636BB"/>
    <w:rsid w:val="00964368"/>
    <w:rsid w:val="0096454F"/>
    <w:rsid w:val="009646BC"/>
    <w:rsid w:val="00964C65"/>
    <w:rsid w:val="009651B2"/>
    <w:rsid w:val="0097070A"/>
    <w:rsid w:val="009711F6"/>
    <w:rsid w:val="00971247"/>
    <w:rsid w:val="0097166F"/>
    <w:rsid w:val="009722E2"/>
    <w:rsid w:val="00972FFD"/>
    <w:rsid w:val="0097339D"/>
    <w:rsid w:val="009743A8"/>
    <w:rsid w:val="009748CA"/>
    <w:rsid w:val="009754A3"/>
    <w:rsid w:val="00976641"/>
    <w:rsid w:val="00976D87"/>
    <w:rsid w:val="00977248"/>
    <w:rsid w:val="00980328"/>
    <w:rsid w:val="00980F4A"/>
    <w:rsid w:val="0098164B"/>
    <w:rsid w:val="00982567"/>
    <w:rsid w:val="009825A9"/>
    <w:rsid w:val="00982898"/>
    <w:rsid w:val="00983C66"/>
    <w:rsid w:val="00983DB5"/>
    <w:rsid w:val="00984D11"/>
    <w:rsid w:val="009862CA"/>
    <w:rsid w:val="00986600"/>
    <w:rsid w:val="00990176"/>
    <w:rsid w:val="009904DA"/>
    <w:rsid w:val="00991FBA"/>
    <w:rsid w:val="00992166"/>
    <w:rsid w:val="00992DD3"/>
    <w:rsid w:val="009939F3"/>
    <w:rsid w:val="00993ACC"/>
    <w:rsid w:val="0099419D"/>
    <w:rsid w:val="009946B5"/>
    <w:rsid w:val="00994DDC"/>
    <w:rsid w:val="00994FBC"/>
    <w:rsid w:val="009958B6"/>
    <w:rsid w:val="00995916"/>
    <w:rsid w:val="00995BB4"/>
    <w:rsid w:val="009965D3"/>
    <w:rsid w:val="009A08E0"/>
    <w:rsid w:val="009A0DC2"/>
    <w:rsid w:val="009A2403"/>
    <w:rsid w:val="009A305F"/>
    <w:rsid w:val="009A3D5E"/>
    <w:rsid w:val="009A43AD"/>
    <w:rsid w:val="009A5E83"/>
    <w:rsid w:val="009A63B4"/>
    <w:rsid w:val="009A6878"/>
    <w:rsid w:val="009A7A10"/>
    <w:rsid w:val="009A7FA2"/>
    <w:rsid w:val="009B0973"/>
    <w:rsid w:val="009B1B16"/>
    <w:rsid w:val="009B1B55"/>
    <w:rsid w:val="009B2155"/>
    <w:rsid w:val="009B2346"/>
    <w:rsid w:val="009B286E"/>
    <w:rsid w:val="009B29FD"/>
    <w:rsid w:val="009B2C13"/>
    <w:rsid w:val="009B33FC"/>
    <w:rsid w:val="009B4208"/>
    <w:rsid w:val="009B42C7"/>
    <w:rsid w:val="009B42DE"/>
    <w:rsid w:val="009B46FA"/>
    <w:rsid w:val="009B5641"/>
    <w:rsid w:val="009B58EB"/>
    <w:rsid w:val="009C17EC"/>
    <w:rsid w:val="009C192E"/>
    <w:rsid w:val="009C2853"/>
    <w:rsid w:val="009C44A0"/>
    <w:rsid w:val="009C4860"/>
    <w:rsid w:val="009C4C53"/>
    <w:rsid w:val="009C500A"/>
    <w:rsid w:val="009C5452"/>
    <w:rsid w:val="009C6337"/>
    <w:rsid w:val="009C7BBD"/>
    <w:rsid w:val="009C7F4A"/>
    <w:rsid w:val="009D077D"/>
    <w:rsid w:val="009D09BA"/>
    <w:rsid w:val="009D33E8"/>
    <w:rsid w:val="009D3F7D"/>
    <w:rsid w:val="009D4AB3"/>
    <w:rsid w:val="009D54A1"/>
    <w:rsid w:val="009D62A6"/>
    <w:rsid w:val="009D6A56"/>
    <w:rsid w:val="009D7411"/>
    <w:rsid w:val="009D7C8E"/>
    <w:rsid w:val="009E1087"/>
    <w:rsid w:val="009E12A3"/>
    <w:rsid w:val="009E1D73"/>
    <w:rsid w:val="009E1E35"/>
    <w:rsid w:val="009E2814"/>
    <w:rsid w:val="009E32EF"/>
    <w:rsid w:val="009E33A2"/>
    <w:rsid w:val="009E3630"/>
    <w:rsid w:val="009E366C"/>
    <w:rsid w:val="009E5823"/>
    <w:rsid w:val="009E5D7D"/>
    <w:rsid w:val="009E5F80"/>
    <w:rsid w:val="009E643E"/>
    <w:rsid w:val="009E7956"/>
    <w:rsid w:val="009E7CE1"/>
    <w:rsid w:val="009F02DB"/>
    <w:rsid w:val="009F1267"/>
    <w:rsid w:val="009F16C1"/>
    <w:rsid w:val="009F2B6F"/>
    <w:rsid w:val="009F2F58"/>
    <w:rsid w:val="009F347E"/>
    <w:rsid w:val="009F3C63"/>
    <w:rsid w:val="009F50E8"/>
    <w:rsid w:val="009F53BA"/>
    <w:rsid w:val="009F53CF"/>
    <w:rsid w:val="009F56C6"/>
    <w:rsid w:val="009F5E11"/>
    <w:rsid w:val="009F64DE"/>
    <w:rsid w:val="009F6E30"/>
    <w:rsid w:val="009F73A8"/>
    <w:rsid w:val="009F745D"/>
    <w:rsid w:val="009F7520"/>
    <w:rsid w:val="009F7C31"/>
    <w:rsid w:val="00A00374"/>
    <w:rsid w:val="00A003F1"/>
    <w:rsid w:val="00A00C43"/>
    <w:rsid w:val="00A01226"/>
    <w:rsid w:val="00A0123F"/>
    <w:rsid w:val="00A0209E"/>
    <w:rsid w:val="00A02910"/>
    <w:rsid w:val="00A0371A"/>
    <w:rsid w:val="00A03771"/>
    <w:rsid w:val="00A04118"/>
    <w:rsid w:val="00A049B1"/>
    <w:rsid w:val="00A05821"/>
    <w:rsid w:val="00A05970"/>
    <w:rsid w:val="00A10474"/>
    <w:rsid w:val="00A11A60"/>
    <w:rsid w:val="00A1235E"/>
    <w:rsid w:val="00A12EBE"/>
    <w:rsid w:val="00A13334"/>
    <w:rsid w:val="00A1551B"/>
    <w:rsid w:val="00A15795"/>
    <w:rsid w:val="00A16009"/>
    <w:rsid w:val="00A16772"/>
    <w:rsid w:val="00A170EE"/>
    <w:rsid w:val="00A17616"/>
    <w:rsid w:val="00A17843"/>
    <w:rsid w:val="00A21333"/>
    <w:rsid w:val="00A2160F"/>
    <w:rsid w:val="00A216F5"/>
    <w:rsid w:val="00A21847"/>
    <w:rsid w:val="00A2189E"/>
    <w:rsid w:val="00A21F85"/>
    <w:rsid w:val="00A229F9"/>
    <w:rsid w:val="00A22B92"/>
    <w:rsid w:val="00A23550"/>
    <w:rsid w:val="00A23B8E"/>
    <w:rsid w:val="00A2463E"/>
    <w:rsid w:val="00A24684"/>
    <w:rsid w:val="00A24948"/>
    <w:rsid w:val="00A25FA6"/>
    <w:rsid w:val="00A27178"/>
    <w:rsid w:val="00A2740E"/>
    <w:rsid w:val="00A27EF5"/>
    <w:rsid w:val="00A30060"/>
    <w:rsid w:val="00A30992"/>
    <w:rsid w:val="00A30FFA"/>
    <w:rsid w:val="00A3224D"/>
    <w:rsid w:val="00A32573"/>
    <w:rsid w:val="00A32686"/>
    <w:rsid w:val="00A34409"/>
    <w:rsid w:val="00A34CE2"/>
    <w:rsid w:val="00A351AA"/>
    <w:rsid w:val="00A35ED3"/>
    <w:rsid w:val="00A374D1"/>
    <w:rsid w:val="00A37C16"/>
    <w:rsid w:val="00A41D6C"/>
    <w:rsid w:val="00A42663"/>
    <w:rsid w:val="00A4361F"/>
    <w:rsid w:val="00A43A1D"/>
    <w:rsid w:val="00A4425C"/>
    <w:rsid w:val="00A448DC"/>
    <w:rsid w:val="00A4597F"/>
    <w:rsid w:val="00A45E0F"/>
    <w:rsid w:val="00A45F4C"/>
    <w:rsid w:val="00A461A5"/>
    <w:rsid w:val="00A46EA8"/>
    <w:rsid w:val="00A47253"/>
    <w:rsid w:val="00A4790B"/>
    <w:rsid w:val="00A50528"/>
    <w:rsid w:val="00A5117D"/>
    <w:rsid w:val="00A514E1"/>
    <w:rsid w:val="00A51848"/>
    <w:rsid w:val="00A52B77"/>
    <w:rsid w:val="00A52DB8"/>
    <w:rsid w:val="00A52E0E"/>
    <w:rsid w:val="00A52E38"/>
    <w:rsid w:val="00A53525"/>
    <w:rsid w:val="00A535D1"/>
    <w:rsid w:val="00A54E59"/>
    <w:rsid w:val="00A54E9F"/>
    <w:rsid w:val="00A55269"/>
    <w:rsid w:val="00A55351"/>
    <w:rsid w:val="00A56BAB"/>
    <w:rsid w:val="00A6006F"/>
    <w:rsid w:val="00A60D9B"/>
    <w:rsid w:val="00A6206C"/>
    <w:rsid w:val="00A6279D"/>
    <w:rsid w:val="00A62BED"/>
    <w:rsid w:val="00A6353E"/>
    <w:rsid w:val="00A6485C"/>
    <w:rsid w:val="00A649DE"/>
    <w:rsid w:val="00A66B75"/>
    <w:rsid w:val="00A66FE0"/>
    <w:rsid w:val="00A67FC0"/>
    <w:rsid w:val="00A70362"/>
    <w:rsid w:val="00A708DC"/>
    <w:rsid w:val="00A70DE7"/>
    <w:rsid w:val="00A71381"/>
    <w:rsid w:val="00A715CE"/>
    <w:rsid w:val="00A72BAD"/>
    <w:rsid w:val="00A72C60"/>
    <w:rsid w:val="00A73DB9"/>
    <w:rsid w:val="00A748D3"/>
    <w:rsid w:val="00A74F32"/>
    <w:rsid w:val="00A7523B"/>
    <w:rsid w:val="00A76CA8"/>
    <w:rsid w:val="00A802B6"/>
    <w:rsid w:val="00A807E1"/>
    <w:rsid w:val="00A80DBC"/>
    <w:rsid w:val="00A81856"/>
    <w:rsid w:val="00A81DA8"/>
    <w:rsid w:val="00A827C4"/>
    <w:rsid w:val="00A82FB4"/>
    <w:rsid w:val="00A84F9F"/>
    <w:rsid w:val="00A85828"/>
    <w:rsid w:val="00A861A1"/>
    <w:rsid w:val="00A868A3"/>
    <w:rsid w:val="00A86A66"/>
    <w:rsid w:val="00A86C10"/>
    <w:rsid w:val="00A871BD"/>
    <w:rsid w:val="00A873D8"/>
    <w:rsid w:val="00A87828"/>
    <w:rsid w:val="00A901CE"/>
    <w:rsid w:val="00A90355"/>
    <w:rsid w:val="00A9051A"/>
    <w:rsid w:val="00A90873"/>
    <w:rsid w:val="00A91310"/>
    <w:rsid w:val="00A918B4"/>
    <w:rsid w:val="00A919A0"/>
    <w:rsid w:val="00A91F83"/>
    <w:rsid w:val="00A92A12"/>
    <w:rsid w:val="00A9791F"/>
    <w:rsid w:val="00AA02DF"/>
    <w:rsid w:val="00AA2215"/>
    <w:rsid w:val="00AA387C"/>
    <w:rsid w:val="00AA48D4"/>
    <w:rsid w:val="00AA4900"/>
    <w:rsid w:val="00AA5DA8"/>
    <w:rsid w:val="00AA6809"/>
    <w:rsid w:val="00AA6925"/>
    <w:rsid w:val="00AA713A"/>
    <w:rsid w:val="00AA7962"/>
    <w:rsid w:val="00AB0057"/>
    <w:rsid w:val="00AB0769"/>
    <w:rsid w:val="00AB1870"/>
    <w:rsid w:val="00AB1AE6"/>
    <w:rsid w:val="00AB1E95"/>
    <w:rsid w:val="00AB2297"/>
    <w:rsid w:val="00AB26A1"/>
    <w:rsid w:val="00AB2C5D"/>
    <w:rsid w:val="00AB4ACA"/>
    <w:rsid w:val="00AB4D5D"/>
    <w:rsid w:val="00AB5559"/>
    <w:rsid w:val="00AB607A"/>
    <w:rsid w:val="00AB6B50"/>
    <w:rsid w:val="00AB7698"/>
    <w:rsid w:val="00AB78D7"/>
    <w:rsid w:val="00AC08BF"/>
    <w:rsid w:val="00AC1697"/>
    <w:rsid w:val="00AC3F40"/>
    <w:rsid w:val="00AC65BC"/>
    <w:rsid w:val="00AC7041"/>
    <w:rsid w:val="00AC73A1"/>
    <w:rsid w:val="00AC7DA9"/>
    <w:rsid w:val="00AC7E95"/>
    <w:rsid w:val="00AD1006"/>
    <w:rsid w:val="00AD1062"/>
    <w:rsid w:val="00AD3A80"/>
    <w:rsid w:val="00AD3D36"/>
    <w:rsid w:val="00AD50DB"/>
    <w:rsid w:val="00AD5105"/>
    <w:rsid w:val="00AD55A9"/>
    <w:rsid w:val="00AD5B44"/>
    <w:rsid w:val="00AD72B3"/>
    <w:rsid w:val="00AE01E2"/>
    <w:rsid w:val="00AE0A04"/>
    <w:rsid w:val="00AE27F5"/>
    <w:rsid w:val="00AE55BA"/>
    <w:rsid w:val="00AF03B5"/>
    <w:rsid w:val="00AF275F"/>
    <w:rsid w:val="00AF35CF"/>
    <w:rsid w:val="00AF377C"/>
    <w:rsid w:val="00AF3B63"/>
    <w:rsid w:val="00AF405A"/>
    <w:rsid w:val="00AF4580"/>
    <w:rsid w:val="00AF4E14"/>
    <w:rsid w:val="00AF56D5"/>
    <w:rsid w:val="00AF571E"/>
    <w:rsid w:val="00AF5DDC"/>
    <w:rsid w:val="00AF5EFB"/>
    <w:rsid w:val="00AF69C6"/>
    <w:rsid w:val="00AF7064"/>
    <w:rsid w:val="00AF7775"/>
    <w:rsid w:val="00AF7825"/>
    <w:rsid w:val="00AF7AED"/>
    <w:rsid w:val="00B008E4"/>
    <w:rsid w:val="00B00B12"/>
    <w:rsid w:val="00B00C2C"/>
    <w:rsid w:val="00B00DA4"/>
    <w:rsid w:val="00B00ED2"/>
    <w:rsid w:val="00B021B0"/>
    <w:rsid w:val="00B036CF"/>
    <w:rsid w:val="00B03D70"/>
    <w:rsid w:val="00B0498C"/>
    <w:rsid w:val="00B05297"/>
    <w:rsid w:val="00B05B8B"/>
    <w:rsid w:val="00B05DB4"/>
    <w:rsid w:val="00B06C3B"/>
    <w:rsid w:val="00B06E31"/>
    <w:rsid w:val="00B06FD3"/>
    <w:rsid w:val="00B074EB"/>
    <w:rsid w:val="00B10252"/>
    <w:rsid w:val="00B1029F"/>
    <w:rsid w:val="00B115B9"/>
    <w:rsid w:val="00B11601"/>
    <w:rsid w:val="00B11878"/>
    <w:rsid w:val="00B12A48"/>
    <w:rsid w:val="00B152C6"/>
    <w:rsid w:val="00B15AE4"/>
    <w:rsid w:val="00B15C85"/>
    <w:rsid w:val="00B15EA6"/>
    <w:rsid w:val="00B15F69"/>
    <w:rsid w:val="00B1760D"/>
    <w:rsid w:val="00B17CA9"/>
    <w:rsid w:val="00B20A88"/>
    <w:rsid w:val="00B2143F"/>
    <w:rsid w:val="00B216CF"/>
    <w:rsid w:val="00B219A1"/>
    <w:rsid w:val="00B2381D"/>
    <w:rsid w:val="00B242E7"/>
    <w:rsid w:val="00B2520C"/>
    <w:rsid w:val="00B261A3"/>
    <w:rsid w:val="00B262A9"/>
    <w:rsid w:val="00B26BD0"/>
    <w:rsid w:val="00B26C56"/>
    <w:rsid w:val="00B26D7E"/>
    <w:rsid w:val="00B27337"/>
    <w:rsid w:val="00B2771A"/>
    <w:rsid w:val="00B300C3"/>
    <w:rsid w:val="00B317E3"/>
    <w:rsid w:val="00B3206C"/>
    <w:rsid w:val="00B3336D"/>
    <w:rsid w:val="00B33D48"/>
    <w:rsid w:val="00B3443C"/>
    <w:rsid w:val="00B34F24"/>
    <w:rsid w:val="00B35030"/>
    <w:rsid w:val="00B35046"/>
    <w:rsid w:val="00B350EE"/>
    <w:rsid w:val="00B353C4"/>
    <w:rsid w:val="00B35518"/>
    <w:rsid w:val="00B35ADD"/>
    <w:rsid w:val="00B36307"/>
    <w:rsid w:val="00B36DBA"/>
    <w:rsid w:val="00B3726F"/>
    <w:rsid w:val="00B37C2C"/>
    <w:rsid w:val="00B40615"/>
    <w:rsid w:val="00B40A2A"/>
    <w:rsid w:val="00B40FF7"/>
    <w:rsid w:val="00B416FE"/>
    <w:rsid w:val="00B41C92"/>
    <w:rsid w:val="00B42E59"/>
    <w:rsid w:val="00B433C3"/>
    <w:rsid w:val="00B43A1D"/>
    <w:rsid w:val="00B44206"/>
    <w:rsid w:val="00B45370"/>
    <w:rsid w:val="00B46ED1"/>
    <w:rsid w:val="00B4743A"/>
    <w:rsid w:val="00B476E0"/>
    <w:rsid w:val="00B502DC"/>
    <w:rsid w:val="00B506FF"/>
    <w:rsid w:val="00B510CB"/>
    <w:rsid w:val="00B51A0B"/>
    <w:rsid w:val="00B51FB3"/>
    <w:rsid w:val="00B52FF0"/>
    <w:rsid w:val="00B5317D"/>
    <w:rsid w:val="00B53E8F"/>
    <w:rsid w:val="00B543C9"/>
    <w:rsid w:val="00B545DC"/>
    <w:rsid w:val="00B54A00"/>
    <w:rsid w:val="00B54C8D"/>
    <w:rsid w:val="00B5570B"/>
    <w:rsid w:val="00B5605E"/>
    <w:rsid w:val="00B56328"/>
    <w:rsid w:val="00B60C63"/>
    <w:rsid w:val="00B60CF3"/>
    <w:rsid w:val="00B60F38"/>
    <w:rsid w:val="00B60F3F"/>
    <w:rsid w:val="00B61479"/>
    <w:rsid w:val="00B61574"/>
    <w:rsid w:val="00B6347D"/>
    <w:rsid w:val="00B639C6"/>
    <w:rsid w:val="00B64C27"/>
    <w:rsid w:val="00B67027"/>
    <w:rsid w:val="00B70426"/>
    <w:rsid w:val="00B706C4"/>
    <w:rsid w:val="00B71105"/>
    <w:rsid w:val="00B7141C"/>
    <w:rsid w:val="00B71567"/>
    <w:rsid w:val="00B71768"/>
    <w:rsid w:val="00B71AA0"/>
    <w:rsid w:val="00B73643"/>
    <w:rsid w:val="00B74421"/>
    <w:rsid w:val="00B74550"/>
    <w:rsid w:val="00B74DB5"/>
    <w:rsid w:val="00B74DCB"/>
    <w:rsid w:val="00B74FEC"/>
    <w:rsid w:val="00B7523D"/>
    <w:rsid w:val="00B76464"/>
    <w:rsid w:val="00B77D72"/>
    <w:rsid w:val="00B8032D"/>
    <w:rsid w:val="00B80D49"/>
    <w:rsid w:val="00B837A4"/>
    <w:rsid w:val="00B839C3"/>
    <w:rsid w:val="00B83A99"/>
    <w:rsid w:val="00B83E82"/>
    <w:rsid w:val="00B83F27"/>
    <w:rsid w:val="00B8520C"/>
    <w:rsid w:val="00B8595A"/>
    <w:rsid w:val="00B86552"/>
    <w:rsid w:val="00B86B37"/>
    <w:rsid w:val="00B87206"/>
    <w:rsid w:val="00B872B3"/>
    <w:rsid w:val="00B87535"/>
    <w:rsid w:val="00B87837"/>
    <w:rsid w:val="00B87A3A"/>
    <w:rsid w:val="00B922A0"/>
    <w:rsid w:val="00B926F7"/>
    <w:rsid w:val="00B93B2C"/>
    <w:rsid w:val="00B948DE"/>
    <w:rsid w:val="00B94E24"/>
    <w:rsid w:val="00B95E87"/>
    <w:rsid w:val="00B965B1"/>
    <w:rsid w:val="00B96D06"/>
    <w:rsid w:val="00B96E9E"/>
    <w:rsid w:val="00B977D3"/>
    <w:rsid w:val="00B97D21"/>
    <w:rsid w:val="00BA0253"/>
    <w:rsid w:val="00BA03F4"/>
    <w:rsid w:val="00BA068A"/>
    <w:rsid w:val="00BA0C8E"/>
    <w:rsid w:val="00BA17CC"/>
    <w:rsid w:val="00BA1B56"/>
    <w:rsid w:val="00BA2AD7"/>
    <w:rsid w:val="00BA31A0"/>
    <w:rsid w:val="00BA38E7"/>
    <w:rsid w:val="00BA4EAD"/>
    <w:rsid w:val="00BA544E"/>
    <w:rsid w:val="00BA5774"/>
    <w:rsid w:val="00BA59B6"/>
    <w:rsid w:val="00BA6003"/>
    <w:rsid w:val="00BA6196"/>
    <w:rsid w:val="00BA6E52"/>
    <w:rsid w:val="00BA6EBB"/>
    <w:rsid w:val="00BB0A00"/>
    <w:rsid w:val="00BB0F90"/>
    <w:rsid w:val="00BB172A"/>
    <w:rsid w:val="00BB1B7A"/>
    <w:rsid w:val="00BB1DF7"/>
    <w:rsid w:val="00BB20FF"/>
    <w:rsid w:val="00BB238D"/>
    <w:rsid w:val="00BB2BFD"/>
    <w:rsid w:val="00BB489F"/>
    <w:rsid w:val="00BB586F"/>
    <w:rsid w:val="00BB74E0"/>
    <w:rsid w:val="00BB7A29"/>
    <w:rsid w:val="00BB7EB4"/>
    <w:rsid w:val="00BC0712"/>
    <w:rsid w:val="00BC1E1A"/>
    <w:rsid w:val="00BC275D"/>
    <w:rsid w:val="00BC511A"/>
    <w:rsid w:val="00BC5681"/>
    <w:rsid w:val="00BC6F9E"/>
    <w:rsid w:val="00BC7A2D"/>
    <w:rsid w:val="00BC7CAC"/>
    <w:rsid w:val="00BD1331"/>
    <w:rsid w:val="00BD1781"/>
    <w:rsid w:val="00BD1C1D"/>
    <w:rsid w:val="00BD3094"/>
    <w:rsid w:val="00BD3212"/>
    <w:rsid w:val="00BD4427"/>
    <w:rsid w:val="00BD5A9B"/>
    <w:rsid w:val="00BD6232"/>
    <w:rsid w:val="00BD733F"/>
    <w:rsid w:val="00BD77EF"/>
    <w:rsid w:val="00BD7FA1"/>
    <w:rsid w:val="00BE0385"/>
    <w:rsid w:val="00BE03DE"/>
    <w:rsid w:val="00BE0444"/>
    <w:rsid w:val="00BE0922"/>
    <w:rsid w:val="00BE0A98"/>
    <w:rsid w:val="00BE157C"/>
    <w:rsid w:val="00BE1AE7"/>
    <w:rsid w:val="00BE2B39"/>
    <w:rsid w:val="00BE32B5"/>
    <w:rsid w:val="00BE408C"/>
    <w:rsid w:val="00BE4EF5"/>
    <w:rsid w:val="00BE5724"/>
    <w:rsid w:val="00BE5AB4"/>
    <w:rsid w:val="00BE6AC7"/>
    <w:rsid w:val="00BF0364"/>
    <w:rsid w:val="00BF0EB9"/>
    <w:rsid w:val="00BF116A"/>
    <w:rsid w:val="00BF1228"/>
    <w:rsid w:val="00BF2371"/>
    <w:rsid w:val="00BF2637"/>
    <w:rsid w:val="00BF26E1"/>
    <w:rsid w:val="00BF2A88"/>
    <w:rsid w:val="00BF2C43"/>
    <w:rsid w:val="00BF3CF3"/>
    <w:rsid w:val="00BF400B"/>
    <w:rsid w:val="00BF4955"/>
    <w:rsid w:val="00BF49FE"/>
    <w:rsid w:val="00BF4EE9"/>
    <w:rsid w:val="00BF587D"/>
    <w:rsid w:val="00BF635D"/>
    <w:rsid w:val="00BF65C1"/>
    <w:rsid w:val="00BF6678"/>
    <w:rsid w:val="00BF6E05"/>
    <w:rsid w:val="00BF753A"/>
    <w:rsid w:val="00BF7A47"/>
    <w:rsid w:val="00C00206"/>
    <w:rsid w:val="00C0080D"/>
    <w:rsid w:val="00C00D82"/>
    <w:rsid w:val="00C01124"/>
    <w:rsid w:val="00C01636"/>
    <w:rsid w:val="00C02134"/>
    <w:rsid w:val="00C0394A"/>
    <w:rsid w:val="00C0397C"/>
    <w:rsid w:val="00C03BD8"/>
    <w:rsid w:val="00C04868"/>
    <w:rsid w:val="00C04975"/>
    <w:rsid w:val="00C04C9A"/>
    <w:rsid w:val="00C04F84"/>
    <w:rsid w:val="00C0543E"/>
    <w:rsid w:val="00C064B1"/>
    <w:rsid w:val="00C073F9"/>
    <w:rsid w:val="00C07CF6"/>
    <w:rsid w:val="00C10F3A"/>
    <w:rsid w:val="00C12517"/>
    <w:rsid w:val="00C12E3F"/>
    <w:rsid w:val="00C1566F"/>
    <w:rsid w:val="00C156FC"/>
    <w:rsid w:val="00C159C2"/>
    <w:rsid w:val="00C16151"/>
    <w:rsid w:val="00C1653C"/>
    <w:rsid w:val="00C1659B"/>
    <w:rsid w:val="00C16C32"/>
    <w:rsid w:val="00C17304"/>
    <w:rsid w:val="00C17C77"/>
    <w:rsid w:val="00C203D1"/>
    <w:rsid w:val="00C20C7B"/>
    <w:rsid w:val="00C21D73"/>
    <w:rsid w:val="00C2324B"/>
    <w:rsid w:val="00C239E6"/>
    <w:rsid w:val="00C23C08"/>
    <w:rsid w:val="00C2466D"/>
    <w:rsid w:val="00C24DCD"/>
    <w:rsid w:val="00C25732"/>
    <w:rsid w:val="00C2645A"/>
    <w:rsid w:val="00C266A4"/>
    <w:rsid w:val="00C26733"/>
    <w:rsid w:val="00C26DF0"/>
    <w:rsid w:val="00C273BC"/>
    <w:rsid w:val="00C30F11"/>
    <w:rsid w:val="00C322EC"/>
    <w:rsid w:val="00C333BE"/>
    <w:rsid w:val="00C33CA1"/>
    <w:rsid w:val="00C33D32"/>
    <w:rsid w:val="00C34984"/>
    <w:rsid w:val="00C350E5"/>
    <w:rsid w:val="00C35413"/>
    <w:rsid w:val="00C35566"/>
    <w:rsid w:val="00C36273"/>
    <w:rsid w:val="00C36F4B"/>
    <w:rsid w:val="00C370FD"/>
    <w:rsid w:val="00C37813"/>
    <w:rsid w:val="00C41222"/>
    <w:rsid w:val="00C41CFD"/>
    <w:rsid w:val="00C43D4B"/>
    <w:rsid w:val="00C440F9"/>
    <w:rsid w:val="00C449DE"/>
    <w:rsid w:val="00C45439"/>
    <w:rsid w:val="00C461D9"/>
    <w:rsid w:val="00C50888"/>
    <w:rsid w:val="00C5157A"/>
    <w:rsid w:val="00C520DF"/>
    <w:rsid w:val="00C53677"/>
    <w:rsid w:val="00C53D15"/>
    <w:rsid w:val="00C543FE"/>
    <w:rsid w:val="00C54783"/>
    <w:rsid w:val="00C54D16"/>
    <w:rsid w:val="00C55230"/>
    <w:rsid w:val="00C5576C"/>
    <w:rsid w:val="00C55780"/>
    <w:rsid w:val="00C559CC"/>
    <w:rsid w:val="00C5681C"/>
    <w:rsid w:val="00C56D76"/>
    <w:rsid w:val="00C56E36"/>
    <w:rsid w:val="00C56E9B"/>
    <w:rsid w:val="00C60BA3"/>
    <w:rsid w:val="00C61147"/>
    <w:rsid w:val="00C617B8"/>
    <w:rsid w:val="00C62012"/>
    <w:rsid w:val="00C638C0"/>
    <w:rsid w:val="00C63FC3"/>
    <w:rsid w:val="00C64056"/>
    <w:rsid w:val="00C64C23"/>
    <w:rsid w:val="00C65602"/>
    <w:rsid w:val="00C65F72"/>
    <w:rsid w:val="00C67018"/>
    <w:rsid w:val="00C70489"/>
    <w:rsid w:val="00C705BD"/>
    <w:rsid w:val="00C70D9F"/>
    <w:rsid w:val="00C70FFB"/>
    <w:rsid w:val="00C713CE"/>
    <w:rsid w:val="00C71503"/>
    <w:rsid w:val="00C71773"/>
    <w:rsid w:val="00C71B22"/>
    <w:rsid w:val="00C71D79"/>
    <w:rsid w:val="00C724CD"/>
    <w:rsid w:val="00C73103"/>
    <w:rsid w:val="00C73AEC"/>
    <w:rsid w:val="00C73C02"/>
    <w:rsid w:val="00C73DCB"/>
    <w:rsid w:val="00C74406"/>
    <w:rsid w:val="00C75149"/>
    <w:rsid w:val="00C7533F"/>
    <w:rsid w:val="00C76EB6"/>
    <w:rsid w:val="00C8002B"/>
    <w:rsid w:val="00C8082A"/>
    <w:rsid w:val="00C812E8"/>
    <w:rsid w:val="00C8217C"/>
    <w:rsid w:val="00C822F7"/>
    <w:rsid w:val="00C823A2"/>
    <w:rsid w:val="00C82590"/>
    <w:rsid w:val="00C82766"/>
    <w:rsid w:val="00C83A92"/>
    <w:rsid w:val="00C847AE"/>
    <w:rsid w:val="00C84D89"/>
    <w:rsid w:val="00C8501D"/>
    <w:rsid w:val="00C85350"/>
    <w:rsid w:val="00C857B2"/>
    <w:rsid w:val="00C871F3"/>
    <w:rsid w:val="00C87E32"/>
    <w:rsid w:val="00C908EF"/>
    <w:rsid w:val="00C917E6"/>
    <w:rsid w:val="00C92F81"/>
    <w:rsid w:val="00C931EA"/>
    <w:rsid w:val="00C9375D"/>
    <w:rsid w:val="00C939AF"/>
    <w:rsid w:val="00C93EE9"/>
    <w:rsid w:val="00C950A8"/>
    <w:rsid w:val="00C951CC"/>
    <w:rsid w:val="00C951F8"/>
    <w:rsid w:val="00C96098"/>
    <w:rsid w:val="00C96D2C"/>
    <w:rsid w:val="00C972A6"/>
    <w:rsid w:val="00C97841"/>
    <w:rsid w:val="00CA0B4C"/>
    <w:rsid w:val="00CA1463"/>
    <w:rsid w:val="00CA1C63"/>
    <w:rsid w:val="00CA233B"/>
    <w:rsid w:val="00CA360C"/>
    <w:rsid w:val="00CA385B"/>
    <w:rsid w:val="00CA3A80"/>
    <w:rsid w:val="00CA4974"/>
    <w:rsid w:val="00CA5C32"/>
    <w:rsid w:val="00CA61CF"/>
    <w:rsid w:val="00CA7325"/>
    <w:rsid w:val="00CA7647"/>
    <w:rsid w:val="00CA7DF1"/>
    <w:rsid w:val="00CA7FD1"/>
    <w:rsid w:val="00CB0359"/>
    <w:rsid w:val="00CB0399"/>
    <w:rsid w:val="00CB1BAB"/>
    <w:rsid w:val="00CB1C21"/>
    <w:rsid w:val="00CB1F05"/>
    <w:rsid w:val="00CB2A0A"/>
    <w:rsid w:val="00CB2B13"/>
    <w:rsid w:val="00CB2B39"/>
    <w:rsid w:val="00CB351A"/>
    <w:rsid w:val="00CB4681"/>
    <w:rsid w:val="00CB46AA"/>
    <w:rsid w:val="00CB48FC"/>
    <w:rsid w:val="00CB4991"/>
    <w:rsid w:val="00CB60C1"/>
    <w:rsid w:val="00CB79A6"/>
    <w:rsid w:val="00CC0B14"/>
    <w:rsid w:val="00CC318D"/>
    <w:rsid w:val="00CC3D2E"/>
    <w:rsid w:val="00CC4254"/>
    <w:rsid w:val="00CC4C65"/>
    <w:rsid w:val="00CC4CCC"/>
    <w:rsid w:val="00CC558D"/>
    <w:rsid w:val="00CC592F"/>
    <w:rsid w:val="00CC61F4"/>
    <w:rsid w:val="00CC62D1"/>
    <w:rsid w:val="00CC639B"/>
    <w:rsid w:val="00CC6962"/>
    <w:rsid w:val="00CC7634"/>
    <w:rsid w:val="00CD0640"/>
    <w:rsid w:val="00CD0C7F"/>
    <w:rsid w:val="00CD1083"/>
    <w:rsid w:val="00CD1363"/>
    <w:rsid w:val="00CD1A28"/>
    <w:rsid w:val="00CD283E"/>
    <w:rsid w:val="00CD3CD9"/>
    <w:rsid w:val="00CD3E5E"/>
    <w:rsid w:val="00CD4559"/>
    <w:rsid w:val="00CD4EC7"/>
    <w:rsid w:val="00CD559F"/>
    <w:rsid w:val="00CD5F12"/>
    <w:rsid w:val="00CD6B4D"/>
    <w:rsid w:val="00CD7B70"/>
    <w:rsid w:val="00CE277B"/>
    <w:rsid w:val="00CE27E4"/>
    <w:rsid w:val="00CE42E0"/>
    <w:rsid w:val="00CE522C"/>
    <w:rsid w:val="00CE5B41"/>
    <w:rsid w:val="00CE64C7"/>
    <w:rsid w:val="00CE66D8"/>
    <w:rsid w:val="00CF0ED1"/>
    <w:rsid w:val="00CF1782"/>
    <w:rsid w:val="00CF1BD9"/>
    <w:rsid w:val="00CF3B5C"/>
    <w:rsid w:val="00CF562E"/>
    <w:rsid w:val="00CF575B"/>
    <w:rsid w:val="00CF57C0"/>
    <w:rsid w:val="00CF59C5"/>
    <w:rsid w:val="00CF5A8F"/>
    <w:rsid w:val="00CF5F3A"/>
    <w:rsid w:val="00CF61DB"/>
    <w:rsid w:val="00CF6983"/>
    <w:rsid w:val="00CF75D1"/>
    <w:rsid w:val="00CF7DBC"/>
    <w:rsid w:val="00D000DD"/>
    <w:rsid w:val="00D0042E"/>
    <w:rsid w:val="00D014A8"/>
    <w:rsid w:val="00D01D79"/>
    <w:rsid w:val="00D037E7"/>
    <w:rsid w:val="00D03EEF"/>
    <w:rsid w:val="00D0494D"/>
    <w:rsid w:val="00D04D25"/>
    <w:rsid w:val="00D05643"/>
    <w:rsid w:val="00D05D1B"/>
    <w:rsid w:val="00D06644"/>
    <w:rsid w:val="00D077D2"/>
    <w:rsid w:val="00D12474"/>
    <w:rsid w:val="00D1347B"/>
    <w:rsid w:val="00D14167"/>
    <w:rsid w:val="00D151F9"/>
    <w:rsid w:val="00D16043"/>
    <w:rsid w:val="00D16296"/>
    <w:rsid w:val="00D16488"/>
    <w:rsid w:val="00D16B15"/>
    <w:rsid w:val="00D17622"/>
    <w:rsid w:val="00D17840"/>
    <w:rsid w:val="00D17C2A"/>
    <w:rsid w:val="00D17FA0"/>
    <w:rsid w:val="00D20AA6"/>
    <w:rsid w:val="00D20DCF"/>
    <w:rsid w:val="00D212EB"/>
    <w:rsid w:val="00D222E6"/>
    <w:rsid w:val="00D223C4"/>
    <w:rsid w:val="00D2247F"/>
    <w:rsid w:val="00D22D95"/>
    <w:rsid w:val="00D23A38"/>
    <w:rsid w:val="00D249A1"/>
    <w:rsid w:val="00D24DE7"/>
    <w:rsid w:val="00D2521B"/>
    <w:rsid w:val="00D2583A"/>
    <w:rsid w:val="00D25CCA"/>
    <w:rsid w:val="00D26007"/>
    <w:rsid w:val="00D26E15"/>
    <w:rsid w:val="00D27302"/>
    <w:rsid w:val="00D276D3"/>
    <w:rsid w:val="00D313F3"/>
    <w:rsid w:val="00D31A03"/>
    <w:rsid w:val="00D31DC9"/>
    <w:rsid w:val="00D3311A"/>
    <w:rsid w:val="00D34D1E"/>
    <w:rsid w:val="00D35661"/>
    <w:rsid w:val="00D36052"/>
    <w:rsid w:val="00D3714C"/>
    <w:rsid w:val="00D3799E"/>
    <w:rsid w:val="00D379F4"/>
    <w:rsid w:val="00D37E40"/>
    <w:rsid w:val="00D41D08"/>
    <w:rsid w:val="00D44016"/>
    <w:rsid w:val="00D454A5"/>
    <w:rsid w:val="00D46D06"/>
    <w:rsid w:val="00D46E2F"/>
    <w:rsid w:val="00D4759F"/>
    <w:rsid w:val="00D47F02"/>
    <w:rsid w:val="00D500D9"/>
    <w:rsid w:val="00D50475"/>
    <w:rsid w:val="00D50640"/>
    <w:rsid w:val="00D50A9E"/>
    <w:rsid w:val="00D50B71"/>
    <w:rsid w:val="00D50C51"/>
    <w:rsid w:val="00D510EE"/>
    <w:rsid w:val="00D5297B"/>
    <w:rsid w:val="00D54CA1"/>
    <w:rsid w:val="00D5515F"/>
    <w:rsid w:val="00D557CE"/>
    <w:rsid w:val="00D57AF5"/>
    <w:rsid w:val="00D57EBA"/>
    <w:rsid w:val="00D61130"/>
    <w:rsid w:val="00D61927"/>
    <w:rsid w:val="00D621CC"/>
    <w:rsid w:val="00D623FE"/>
    <w:rsid w:val="00D6254D"/>
    <w:rsid w:val="00D64E84"/>
    <w:rsid w:val="00D65280"/>
    <w:rsid w:val="00D65861"/>
    <w:rsid w:val="00D6598C"/>
    <w:rsid w:val="00D65B80"/>
    <w:rsid w:val="00D67281"/>
    <w:rsid w:val="00D67A3C"/>
    <w:rsid w:val="00D67BDC"/>
    <w:rsid w:val="00D67EC3"/>
    <w:rsid w:val="00D7071F"/>
    <w:rsid w:val="00D70FB2"/>
    <w:rsid w:val="00D71DE6"/>
    <w:rsid w:val="00D71E4F"/>
    <w:rsid w:val="00D72417"/>
    <w:rsid w:val="00D7303B"/>
    <w:rsid w:val="00D7347A"/>
    <w:rsid w:val="00D7406D"/>
    <w:rsid w:val="00D74101"/>
    <w:rsid w:val="00D747C8"/>
    <w:rsid w:val="00D75372"/>
    <w:rsid w:val="00D76025"/>
    <w:rsid w:val="00D7602F"/>
    <w:rsid w:val="00D76236"/>
    <w:rsid w:val="00D765A1"/>
    <w:rsid w:val="00D76661"/>
    <w:rsid w:val="00D769BA"/>
    <w:rsid w:val="00D76CFB"/>
    <w:rsid w:val="00D77E7C"/>
    <w:rsid w:val="00D80079"/>
    <w:rsid w:val="00D80B98"/>
    <w:rsid w:val="00D80D96"/>
    <w:rsid w:val="00D81033"/>
    <w:rsid w:val="00D813EE"/>
    <w:rsid w:val="00D8166B"/>
    <w:rsid w:val="00D81680"/>
    <w:rsid w:val="00D82210"/>
    <w:rsid w:val="00D825CD"/>
    <w:rsid w:val="00D82921"/>
    <w:rsid w:val="00D83434"/>
    <w:rsid w:val="00D835F0"/>
    <w:rsid w:val="00D8394A"/>
    <w:rsid w:val="00D84C23"/>
    <w:rsid w:val="00D87FFB"/>
    <w:rsid w:val="00D9024C"/>
    <w:rsid w:val="00D9054B"/>
    <w:rsid w:val="00D911CE"/>
    <w:rsid w:val="00D918DD"/>
    <w:rsid w:val="00D92A85"/>
    <w:rsid w:val="00D92D97"/>
    <w:rsid w:val="00D92F5C"/>
    <w:rsid w:val="00D93F7D"/>
    <w:rsid w:val="00D9415E"/>
    <w:rsid w:val="00D9458B"/>
    <w:rsid w:val="00D950E7"/>
    <w:rsid w:val="00D9552C"/>
    <w:rsid w:val="00D95AE0"/>
    <w:rsid w:val="00D95C65"/>
    <w:rsid w:val="00D96A4D"/>
    <w:rsid w:val="00D96BF3"/>
    <w:rsid w:val="00D96C1E"/>
    <w:rsid w:val="00D96FA7"/>
    <w:rsid w:val="00DA0A6F"/>
    <w:rsid w:val="00DA0E66"/>
    <w:rsid w:val="00DA15BC"/>
    <w:rsid w:val="00DA18F1"/>
    <w:rsid w:val="00DA2FA3"/>
    <w:rsid w:val="00DA4FED"/>
    <w:rsid w:val="00DA5517"/>
    <w:rsid w:val="00DA638E"/>
    <w:rsid w:val="00DA6391"/>
    <w:rsid w:val="00DA6F84"/>
    <w:rsid w:val="00DA799D"/>
    <w:rsid w:val="00DA7B01"/>
    <w:rsid w:val="00DB049D"/>
    <w:rsid w:val="00DB139F"/>
    <w:rsid w:val="00DB150D"/>
    <w:rsid w:val="00DB1CCE"/>
    <w:rsid w:val="00DB309D"/>
    <w:rsid w:val="00DB3CF1"/>
    <w:rsid w:val="00DB4AB5"/>
    <w:rsid w:val="00DB51D2"/>
    <w:rsid w:val="00DB5937"/>
    <w:rsid w:val="00DB5A0B"/>
    <w:rsid w:val="00DB5B53"/>
    <w:rsid w:val="00DB5DC2"/>
    <w:rsid w:val="00DB6BE0"/>
    <w:rsid w:val="00DB6E9D"/>
    <w:rsid w:val="00DC1034"/>
    <w:rsid w:val="00DC2425"/>
    <w:rsid w:val="00DC26B0"/>
    <w:rsid w:val="00DC2F80"/>
    <w:rsid w:val="00DC38D5"/>
    <w:rsid w:val="00DC39C8"/>
    <w:rsid w:val="00DC436E"/>
    <w:rsid w:val="00DC5BD0"/>
    <w:rsid w:val="00DC6A69"/>
    <w:rsid w:val="00DC757C"/>
    <w:rsid w:val="00DC7FE9"/>
    <w:rsid w:val="00DD0190"/>
    <w:rsid w:val="00DD0A9C"/>
    <w:rsid w:val="00DD0ABB"/>
    <w:rsid w:val="00DD0C3C"/>
    <w:rsid w:val="00DD0C71"/>
    <w:rsid w:val="00DD27D3"/>
    <w:rsid w:val="00DD30C1"/>
    <w:rsid w:val="00DD361C"/>
    <w:rsid w:val="00DD3710"/>
    <w:rsid w:val="00DD3823"/>
    <w:rsid w:val="00DD3BC6"/>
    <w:rsid w:val="00DD48A0"/>
    <w:rsid w:val="00DD567D"/>
    <w:rsid w:val="00DD56C3"/>
    <w:rsid w:val="00DD5C69"/>
    <w:rsid w:val="00DD6860"/>
    <w:rsid w:val="00DD696D"/>
    <w:rsid w:val="00DD6CB8"/>
    <w:rsid w:val="00DD7650"/>
    <w:rsid w:val="00DD7EE8"/>
    <w:rsid w:val="00DE018B"/>
    <w:rsid w:val="00DE037E"/>
    <w:rsid w:val="00DE041E"/>
    <w:rsid w:val="00DE1AFA"/>
    <w:rsid w:val="00DE1B3E"/>
    <w:rsid w:val="00DE2943"/>
    <w:rsid w:val="00DE3B76"/>
    <w:rsid w:val="00DE5816"/>
    <w:rsid w:val="00DE58A7"/>
    <w:rsid w:val="00DF0268"/>
    <w:rsid w:val="00DF0A35"/>
    <w:rsid w:val="00DF334C"/>
    <w:rsid w:val="00DF370C"/>
    <w:rsid w:val="00DF377A"/>
    <w:rsid w:val="00DF3F7F"/>
    <w:rsid w:val="00DF52EF"/>
    <w:rsid w:val="00DF5778"/>
    <w:rsid w:val="00DF5902"/>
    <w:rsid w:val="00DF6736"/>
    <w:rsid w:val="00E00101"/>
    <w:rsid w:val="00E0049F"/>
    <w:rsid w:val="00E005CA"/>
    <w:rsid w:val="00E0065F"/>
    <w:rsid w:val="00E013CE"/>
    <w:rsid w:val="00E01EC8"/>
    <w:rsid w:val="00E02002"/>
    <w:rsid w:val="00E02078"/>
    <w:rsid w:val="00E0296F"/>
    <w:rsid w:val="00E035F2"/>
    <w:rsid w:val="00E0395F"/>
    <w:rsid w:val="00E03AB2"/>
    <w:rsid w:val="00E046C0"/>
    <w:rsid w:val="00E05F9F"/>
    <w:rsid w:val="00E06FEF"/>
    <w:rsid w:val="00E07FBD"/>
    <w:rsid w:val="00E101A4"/>
    <w:rsid w:val="00E101AA"/>
    <w:rsid w:val="00E108B8"/>
    <w:rsid w:val="00E1178F"/>
    <w:rsid w:val="00E12DDE"/>
    <w:rsid w:val="00E13CF2"/>
    <w:rsid w:val="00E13E37"/>
    <w:rsid w:val="00E14BF4"/>
    <w:rsid w:val="00E156C0"/>
    <w:rsid w:val="00E15A87"/>
    <w:rsid w:val="00E15FAE"/>
    <w:rsid w:val="00E1723F"/>
    <w:rsid w:val="00E1770F"/>
    <w:rsid w:val="00E178D9"/>
    <w:rsid w:val="00E17903"/>
    <w:rsid w:val="00E17F68"/>
    <w:rsid w:val="00E2057A"/>
    <w:rsid w:val="00E20769"/>
    <w:rsid w:val="00E21613"/>
    <w:rsid w:val="00E21924"/>
    <w:rsid w:val="00E21BF2"/>
    <w:rsid w:val="00E222CB"/>
    <w:rsid w:val="00E22C6A"/>
    <w:rsid w:val="00E239BC"/>
    <w:rsid w:val="00E23D79"/>
    <w:rsid w:val="00E257C1"/>
    <w:rsid w:val="00E2587F"/>
    <w:rsid w:val="00E259C4"/>
    <w:rsid w:val="00E25C2E"/>
    <w:rsid w:val="00E2703D"/>
    <w:rsid w:val="00E2714A"/>
    <w:rsid w:val="00E30A7F"/>
    <w:rsid w:val="00E30F38"/>
    <w:rsid w:val="00E31B79"/>
    <w:rsid w:val="00E31C4E"/>
    <w:rsid w:val="00E32BD3"/>
    <w:rsid w:val="00E34498"/>
    <w:rsid w:val="00E345B2"/>
    <w:rsid w:val="00E3545D"/>
    <w:rsid w:val="00E36F7B"/>
    <w:rsid w:val="00E371B9"/>
    <w:rsid w:val="00E37500"/>
    <w:rsid w:val="00E37888"/>
    <w:rsid w:val="00E409E2"/>
    <w:rsid w:val="00E40CD1"/>
    <w:rsid w:val="00E433CB"/>
    <w:rsid w:val="00E43B82"/>
    <w:rsid w:val="00E443F7"/>
    <w:rsid w:val="00E4469F"/>
    <w:rsid w:val="00E447F3"/>
    <w:rsid w:val="00E45DA2"/>
    <w:rsid w:val="00E46D8F"/>
    <w:rsid w:val="00E46FF0"/>
    <w:rsid w:val="00E5215D"/>
    <w:rsid w:val="00E526F4"/>
    <w:rsid w:val="00E52ACE"/>
    <w:rsid w:val="00E5349F"/>
    <w:rsid w:val="00E548A0"/>
    <w:rsid w:val="00E55E44"/>
    <w:rsid w:val="00E55F21"/>
    <w:rsid w:val="00E56DD2"/>
    <w:rsid w:val="00E570AD"/>
    <w:rsid w:val="00E57144"/>
    <w:rsid w:val="00E60000"/>
    <w:rsid w:val="00E6035A"/>
    <w:rsid w:val="00E6048A"/>
    <w:rsid w:val="00E6051E"/>
    <w:rsid w:val="00E607BF"/>
    <w:rsid w:val="00E612C6"/>
    <w:rsid w:val="00E624AA"/>
    <w:rsid w:val="00E632A8"/>
    <w:rsid w:val="00E63B8F"/>
    <w:rsid w:val="00E649D8"/>
    <w:rsid w:val="00E64C0A"/>
    <w:rsid w:val="00E64DB9"/>
    <w:rsid w:val="00E651C0"/>
    <w:rsid w:val="00E669B2"/>
    <w:rsid w:val="00E672B5"/>
    <w:rsid w:val="00E67823"/>
    <w:rsid w:val="00E70ADC"/>
    <w:rsid w:val="00E70C4B"/>
    <w:rsid w:val="00E72F39"/>
    <w:rsid w:val="00E734B3"/>
    <w:rsid w:val="00E7439C"/>
    <w:rsid w:val="00E75240"/>
    <w:rsid w:val="00E757B9"/>
    <w:rsid w:val="00E758F6"/>
    <w:rsid w:val="00E763A6"/>
    <w:rsid w:val="00E7736A"/>
    <w:rsid w:val="00E77721"/>
    <w:rsid w:val="00E77FA0"/>
    <w:rsid w:val="00E80138"/>
    <w:rsid w:val="00E80F72"/>
    <w:rsid w:val="00E831E1"/>
    <w:rsid w:val="00E83308"/>
    <w:rsid w:val="00E83CA8"/>
    <w:rsid w:val="00E84201"/>
    <w:rsid w:val="00E866DC"/>
    <w:rsid w:val="00E87393"/>
    <w:rsid w:val="00E902A4"/>
    <w:rsid w:val="00E90E08"/>
    <w:rsid w:val="00E91099"/>
    <w:rsid w:val="00E9201F"/>
    <w:rsid w:val="00E9215A"/>
    <w:rsid w:val="00E9224F"/>
    <w:rsid w:val="00E932A9"/>
    <w:rsid w:val="00E939B8"/>
    <w:rsid w:val="00E945F9"/>
    <w:rsid w:val="00E9496B"/>
    <w:rsid w:val="00E95158"/>
    <w:rsid w:val="00E95E00"/>
    <w:rsid w:val="00E96573"/>
    <w:rsid w:val="00E96774"/>
    <w:rsid w:val="00E977A8"/>
    <w:rsid w:val="00EA14B1"/>
    <w:rsid w:val="00EA24A0"/>
    <w:rsid w:val="00EA27AC"/>
    <w:rsid w:val="00EA2AB7"/>
    <w:rsid w:val="00EA3133"/>
    <w:rsid w:val="00EA3191"/>
    <w:rsid w:val="00EA3483"/>
    <w:rsid w:val="00EA367F"/>
    <w:rsid w:val="00EA38F8"/>
    <w:rsid w:val="00EA391E"/>
    <w:rsid w:val="00EA43F5"/>
    <w:rsid w:val="00EA5330"/>
    <w:rsid w:val="00EA58A8"/>
    <w:rsid w:val="00EA5CDF"/>
    <w:rsid w:val="00EA70A2"/>
    <w:rsid w:val="00EA75C6"/>
    <w:rsid w:val="00EB0751"/>
    <w:rsid w:val="00EB0982"/>
    <w:rsid w:val="00EB24D4"/>
    <w:rsid w:val="00EB3801"/>
    <w:rsid w:val="00EB4A42"/>
    <w:rsid w:val="00EB4FD6"/>
    <w:rsid w:val="00EB5BA6"/>
    <w:rsid w:val="00EB6206"/>
    <w:rsid w:val="00EB6965"/>
    <w:rsid w:val="00EB79C4"/>
    <w:rsid w:val="00EB7F89"/>
    <w:rsid w:val="00EC093B"/>
    <w:rsid w:val="00EC0DE8"/>
    <w:rsid w:val="00EC25B3"/>
    <w:rsid w:val="00EC286F"/>
    <w:rsid w:val="00EC2BB5"/>
    <w:rsid w:val="00EC3C99"/>
    <w:rsid w:val="00EC551D"/>
    <w:rsid w:val="00EC62CE"/>
    <w:rsid w:val="00EC677B"/>
    <w:rsid w:val="00EC74A4"/>
    <w:rsid w:val="00EC795F"/>
    <w:rsid w:val="00EC7CBB"/>
    <w:rsid w:val="00ED03F3"/>
    <w:rsid w:val="00ED1D5D"/>
    <w:rsid w:val="00ED21D1"/>
    <w:rsid w:val="00ED246B"/>
    <w:rsid w:val="00ED2B58"/>
    <w:rsid w:val="00ED2F42"/>
    <w:rsid w:val="00ED44F3"/>
    <w:rsid w:val="00ED57F8"/>
    <w:rsid w:val="00ED69BB"/>
    <w:rsid w:val="00ED70B2"/>
    <w:rsid w:val="00ED769F"/>
    <w:rsid w:val="00ED79BA"/>
    <w:rsid w:val="00EE0486"/>
    <w:rsid w:val="00EE11DC"/>
    <w:rsid w:val="00EE1435"/>
    <w:rsid w:val="00EE41BE"/>
    <w:rsid w:val="00EE42C9"/>
    <w:rsid w:val="00EE46AB"/>
    <w:rsid w:val="00EE5645"/>
    <w:rsid w:val="00EE57A4"/>
    <w:rsid w:val="00EE59F5"/>
    <w:rsid w:val="00EE7A51"/>
    <w:rsid w:val="00EF31DB"/>
    <w:rsid w:val="00EF4ECC"/>
    <w:rsid w:val="00EF51B2"/>
    <w:rsid w:val="00EF6A55"/>
    <w:rsid w:val="00F004F3"/>
    <w:rsid w:val="00F00997"/>
    <w:rsid w:val="00F0214C"/>
    <w:rsid w:val="00F0277F"/>
    <w:rsid w:val="00F02888"/>
    <w:rsid w:val="00F043EC"/>
    <w:rsid w:val="00F05014"/>
    <w:rsid w:val="00F05464"/>
    <w:rsid w:val="00F055F9"/>
    <w:rsid w:val="00F0590D"/>
    <w:rsid w:val="00F07A2E"/>
    <w:rsid w:val="00F07C70"/>
    <w:rsid w:val="00F10522"/>
    <w:rsid w:val="00F1087E"/>
    <w:rsid w:val="00F12A4D"/>
    <w:rsid w:val="00F12D94"/>
    <w:rsid w:val="00F13651"/>
    <w:rsid w:val="00F13A3A"/>
    <w:rsid w:val="00F13F2D"/>
    <w:rsid w:val="00F140B9"/>
    <w:rsid w:val="00F14423"/>
    <w:rsid w:val="00F14A0A"/>
    <w:rsid w:val="00F15EBB"/>
    <w:rsid w:val="00F16268"/>
    <w:rsid w:val="00F1705B"/>
    <w:rsid w:val="00F17C54"/>
    <w:rsid w:val="00F20503"/>
    <w:rsid w:val="00F21CF9"/>
    <w:rsid w:val="00F223FF"/>
    <w:rsid w:val="00F22558"/>
    <w:rsid w:val="00F22D19"/>
    <w:rsid w:val="00F22EAC"/>
    <w:rsid w:val="00F235F7"/>
    <w:rsid w:val="00F24FA1"/>
    <w:rsid w:val="00F25002"/>
    <w:rsid w:val="00F25705"/>
    <w:rsid w:val="00F25D8F"/>
    <w:rsid w:val="00F2623F"/>
    <w:rsid w:val="00F2706A"/>
    <w:rsid w:val="00F279E5"/>
    <w:rsid w:val="00F318A7"/>
    <w:rsid w:val="00F31D3F"/>
    <w:rsid w:val="00F326C6"/>
    <w:rsid w:val="00F328AD"/>
    <w:rsid w:val="00F32D74"/>
    <w:rsid w:val="00F331CE"/>
    <w:rsid w:val="00F343D1"/>
    <w:rsid w:val="00F3566B"/>
    <w:rsid w:val="00F35BE6"/>
    <w:rsid w:val="00F40C56"/>
    <w:rsid w:val="00F41339"/>
    <w:rsid w:val="00F4198E"/>
    <w:rsid w:val="00F4251E"/>
    <w:rsid w:val="00F425F5"/>
    <w:rsid w:val="00F42A09"/>
    <w:rsid w:val="00F42F0B"/>
    <w:rsid w:val="00F43C87"/>
    <w:rsid w:val="00F43DD0"/>
    <w:rsid w:val="00F43F0C"/>
    <w:rsid w:val="00F45EF0"/>
    <w:rsid w:val="00F47501"/>
    <w:rsid w:val="00F50E4C"/>
    <w:rsid w:val="00F520BC"/>
    <w:rsid w:val="00F52557"/>
    <w:rsid w:val="00F52631"/>
    <w:rsid w:val="00F52B22"/>
    <w:rsid w:val="00F53854"/>
    <w:rsid w:val="00F53EF0"/>
    <w:rsid w:val="00F546C3"/>
    <w:rsid w:val="00F549E7"/>
    <w:rsid w:val="00F54FF5"/>
    <w:rsid w:val="00F56574"/>
    <w:rsid w:val="00F566E9"/>
    <w:rsid w:val="00F5697C"/>
    <w:rsid w:val="00F5723A"/>
    <w:rsid w:val="00F5725F"/>
    <w:rsid w:val="00F610D0"/>
    <w:rsid w:val="00F6146C"/>
    <w:rsid w:val="00F616EA"/>
    <w:rsid w:val="00F622AA"/>
    <w:rsid w:val="00F6251E"/>
    <w:rsid w:val="00F628A7"/>
    <w:rsid w:val="00F63DFA"/>
    <w:rsid w:val="00F64B6E"/>
    <w:rsid w:val="00F64E5F"/>
    <w:rsid w:val="00F65C1A"/>
    <w:rsid w:val="00F6636F"/>
    <w:rsid w:val="00F66BEA"/>
    <w:rsid w:val="00F7050F"/>
    <w:rsid w:val="00F72006"/>
    <w:rsid w:val="00F727DC"/>
    <w:rsid w:val="00F73482"/>
    <w:rsid w:val="00F73EFB"/>
    <w:rsid w:val="00F7461C"/>
    <w:rsid w:val="00F75E0A"/>
    <w:rsid w:val="00F763E6"/>
    <w:rsid w:val="00F76C2D"/>
    <w:rsid w:val="00F774C5"/>
    <w:rsid w:val="00F7779C"/>
    <w:rsid w:val="00F814EE"/>
    <w:rsid w:val="00F81C2B"/>
    <w:rsid w:val="00F8253C"/>
    <w:rsid w:val="00F832A8"/>
    <w:rsid w:val="00F838A3"/>
    <w:rsid w:val="00F83B2A"/>
    <w:rsid w:val="00F83CF2"/>
    <w:rsid w:val="00F84D5F"/>
    <w:rsid w:val="00F85227"/>
    <w:rsid w:val="00F863BE"/>
    <w:rsid w:val="00F86700"/>
    <w:rsid w:val="00F86F68"/>
    <w:rsid w:val="00F8708A"/>
    <w:rsid w:val="00F874FC"/>
    <w:rsid w:val="00F90E42"/>
    <w:rsid w:val="00F91028"/>
    <w:rsid w:val="00F91F50"/>
    <w:rsid w:val="00F939B7"/>
    <w:rsid w:val="00F94268"/>
    <w:rsid w:val="00F96716"/>
    <w:rsid w:val="00F9696E"/>
    <w:rsid w:val="00F96975"/>
    <w:rsid w:val="00F96A5F"/>
    <w:rsid w:val="00F96C88"/>
    <w:rsid w:val="00F9718A"/>
    <w:rsid w:val="00F978CE"/>
    <w:rsid w:val="00FA0E9D"/>
    <w:rsid w:val="00FA105C"/>
    <w:rsid w:val="00FA1F8F"/>
    <w:rsid w:val="00FA22ED"/>
    <w:rsid w:val="00FA256D"/>
    <w:rsid w:val="00FA33F9"/>
    <w:rsid w:val="00FA4F61"/>
    <w:rsid w:val="00FA506C"/>
    <w:rsid w:val="00FA6B97"/>
    <w:rsid w:val="00FA701E"/>
    <w:rsid w:val="00FB024B"/>
    <w:rsid w:val="00FB0ACE"/>
    <w:rsid w:val="00FB0AEE"/>
    <w:rsid w:val="00FB1A19"/>
    <w:rsid w:val="00FB2A57"/>
    <w:rsid w:val="00FB3009"/>
    <w:rsid w:val="00FB3B15"/>
    <w:rsid w:val="00FB3D3F"/>
    <w:rsid w:val="00FB6178"/>
    <w:rsid w:val="00FB6922"/>
    <w:rsid w:val="00FB73CB"/>
    <w:rsid w:val="00FB76C2"/>
    <w:rsid w:val="00FC0156"/>
    <w:rsid w:val="00FC23BA"/>
    <w:rsid w:val="00FC273F"/>
    <w:rsid w:val="00FC2897"/>
    <w:rsid w:val="00FC2D14"/>
    <w:rsid w:val="00FC2F52"/>
    <w:rsid w:val="00FC33E2"/>
    <w:rsid w:val="00FC3932"/>
    <w:rsid w:val="00FC3C4B"/>
    <w:rsid w:val="00FC3CAD"/>
    <w:rsid w:val="00FC3D5E"/>
    <w:rsid w:val="00FC5F8D"/>
    <w:rsid w:val="00FC72B9"/>
    <w:rsid w:val="00FC72BA"/>
    <w:rsid w:val="00FD1A06"/>
    <w:rsid w:val="00FD30B1"/>
    <w:rsid w:val="00FD339A"/>
    <w:rsid w:val="00FD3450"/>
    <w:rsid w:val="00FD4042"/>
    <w:rsid w:val="00FD4AEC"/>
    <w:rsid w:val="00FD58C4"/>
    <w:rsid w:val="00FD627F"/>
    <w:rsid w:val="00FD69D6"/>
    <w:rsid w:val="00FD72BF"/>
    <w:rsid w:val="00FD7CF2"/>
    <w:rsid w:val="00FE0724"/>
    <w:rsid w:val="00FE1F8F"/>
    <w:rsid w:val="00FE23A7"/>
    <w:rsid w:val="00FE26E3"/>
    <w:rsid w:val="00FE3DCA"/>
    <w:rsid w:val="00FE461D"/>
    <w:rsid w:val="00FE4DFB"/>
    <w:rsid w:val="00FE583B"/>
    <w:rsid w:val="00FE5E5D"/>
    <w:rsid w:val="00FE61ED"/>
    <w:rsid w:val="00FE6A94"/>
    <w:rsid w:val="00FE6CD9"/>
    <w:rsid w:val="00FE6D39"/>
    <w:rsid w:val="00FE76BE"/>
    <w:rsid w:val="00FE775A"/>
    <w:rsid w:val="00FF048D"/>
    <w:rsid w:val="00FF1FAD"/>
    <w:rsid w:val="00FF2A0D"/>
    <w:rsid w:val="00FF2C6F"/>
    <w:rsid w:val="00FF359F"/>
    <w:rsid w:val="00FF4166"/>
    <w:rsid w:val="00FF4875"/>
    <w:rsid w:val="00FF5788"/>
    <w:rsid w:val="00FF585B"/>
    <w:rsid w:val="00FF6508"/>
    <w:rsid w:val="00FF69D5"/>
    <w:rsid w:val="00FF6F2E"/>
  </w:rsids>
  <m:mathPr>
    <m:mathFont m:val="Cambria Math"/>
    <m:brkBin m:val="before"/>
    <m:brkBinSub m:val="--"/>
    <m:smallFrac m:val="0"/>
    <m:dispDef/>
    <m:lMargin m:val="0"/>
    <m:rMargin m:val="0"/>
    <m:defJc m:val="centerGroup"/>
    <m:wrapIndent m:val="1440"/>
    <m:intLim m:val="subSup"/>
    <m:naryLim m:val="undOvr"/>
  </m:mathPr>
  <w:themeFontLang w:val="en-GB" w:eastAsia="ja-JP" w:bidi="he-I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5AE5E636"/>
  <w15:docId w15:val="{2E788840-D580-4079-AF3A-6D22034D8A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unhideWhenUsed="1"/>
    <w:lsdException w:name="heading 1" w:uiPriority="0" w:unhideWhenUsed="1"/>
    <w:lsdException w:name="heading 2" w:uiPriority="0" w:unhideWhenUsed="1" w:qFormat="1"/>
    <w:lsdException w:name="heading 3" w:uiPriority="0" w:unhideWhenUsed="1" w:qFormat="1"/>
    <w:lsdException w:name="heading 4" w:uiPriority="0" w:unhideWhenUsed="1" w:qFormat="1"/>
    <w:lsdException w:name="heading 5" w:uiPriority="0" w:unhideWhenUsed="1" w:qFormat="1"/>
    <w:lsdException w:name="heading 6" w:uiPriority="0" w:unhideWhenUsed="1" w:qFormat="1"/>
    <w:lsdException w:name="heading 7" w:uiPriority="0" w:unhideWhenUsed="1" w:qFormat="1"/>
    <w:lsdException w:name="heading 8" w:uiPriority="0" w:unhideWhenUsed="1" w:qFormat="1"/>
    <w:lsdException w:name="heading 9"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uiPriority="0" w:unhideWhenUsed="1"/>
    <w:lsdException w:name="toc 6" w:uiPriority="0" w:unhideWhenUsed="1"/>
    <w:lsdException w:name="toc 7" w:uiPriority="0" w:unhideWhenUsed="1"/>
    <w:lsdException w:name="toc 8" w:uiPriority="0" w:unhideWhenUsed="1"/>
    <w:lsdException w:name="toc 9" w:uiPriority="0"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uiPriority="0" w:unhideWhenUsed="1"/>
    <w:lsdException w:name="annotation reference" w:semiHidden="1" w:unhideWhenUsed="1"/>
    <w:lsdException w:name="line number" w:semiHidden="1" w:unhideWhenUsed="1"/>
    <w:lsdException w:name="page number" w:uiPriority="0" w:unhideWhenUsed="1"/>
    <w:lsdException w:name="endnote reference" w:uiPriority="0" w:unhideWhenUsed="1"/>
    <w:lsdException w:name="endnote text"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nhideWhenUs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nhideWhenUsed="1" w:qFormat="1"/>
    <w:lsdException w:name="Emphasis" w:semiHidden="1"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semiHidden="1" w:qFormat="1"/>
    <w:lsdException w:name="Intense Quote" w:semiHidden="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nhideWhenUsed="1" w:qFormat="1"/>
    <w:lsdException w:name="Intense Emphasis" w:semiHidden="1" w:unhideWhenUsed="1" w:qFormat="1"/>
    <w:lsdException w:name="Subtle Reference" w:semiHidden="1" w:unhideWhenUsed="1" w:qFormat="1"/>
    <w:lsdException w:name="Intense Reference" w:semiHidden="1" w:unhideWhenUsed="1" w:qFormat="1"/>
    <w:lsdException w:name="Book Title" w:semiHidden="1"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nhideWhenUsed/>
    <w:rsid w:val="009F02DB"/>
    <w:pPr>
      <w:spacing w:after="0" w:line="240" w:lineRule="auto"/>
    </w:pPr>
    <w:rPr>
      <w:rFonts w:ascii="Arial" w:hAnsi="Arial"/>
      <w:sz w:val="20"/>
    </w:rPr>
  </w:style>
  <w:style w:type="paragraph" w:styleId="Heading1">
    <w:name w:val="heading 1"/>
    <w:basedOn w:val="Normal"/>
    <w:next w:val="Normal"/>
    <w:unhideWhenUsed/>
    <w:rsid w:val="00411DF4"/>
    <w:pPr>
      <w:numPr>
        <w:numId w:val="34"/>
      </w:numPr>
      <w:outlineLvl w:val="0"/>
    </w:pPr>
    <w:rPr>
      <w:rFonts w:eastAsia="Times New Roman" w:cs="Arial"/>
      <w:bCs/>
      <w:szCs w:val="32"/>
      <w:lang w:eastAsia="en-GB"/>
    </w:rPr>
  </w:style>
  <w:style w:type="paragraph" w:styleId="Heading2">
    <w:name w:val="heading 2"/>
    <w:basedOn w:val="Normal"/>
    <w:next w:val="Normal"/>
    <w:unhideWhenUsed/>
    <w:qFormat/>
    <w:rsid w:val="00411DF4"/>
    <w:pPr>
      <w:numPr>
        <w:ilvl w:val="1"/>
        <w:numId w:val="34"/>
      </w:numPr>
      <w:outlineLvl w:val="1"/>
    </w:pPr>
    <w:rPr>
      <w:rFonts w:eastAsia="Times New Roman" w:cs="Arial"/>
      <w:bCs/>
      <w:iCs/>
      <w:szCs w:val="28"/>
      <w:lang w:eastAsia="en-GB"/>
    </w:rPr>
  </w:style>
  <w:style w:type="paragraph" w:styleId="Heading3">
    <w:name w:val="heading 3"/>
    <w:basedOn w:val="Normal"/>
    <w:next w:val="Normal"/>
    <w:unhideWhenUsed/>
    <w:qFormat/>
    <w:rsid w:val="00411DF4"/>
    <w:pPr>
      <w:numPr>
        <w:ilvl w:val="2"/>
        <w:numId w:val="34"/>
      </w:numPr>
      <w:outlineLvl w:val="2"/>
    </w:pPr>
    <w:rPr>
      <w:rFonts w:eastAsia="Times New Roman" w:cs="Arial"/>
      <w:bCs/>
      <w:szCs w:val="26"/>
      <w:lang w:eastAsia="en-GB"/>
    </w:rPr>
  </w:style>
  <w:style w:type="paragraph" w:styleId="Heading4">
    <w:name w:val="heading 4"/>
    <w:basedOn w:val="Normal"/>
    <w:next w:val="Normal"/>
    <w:unhideWhenUsed/>
    <w:qFormat/>
    <w:rsid w:val="00411DF4"/>
    <w:pPr>
      <w:numPr>
        <w:ilvl w:val="3"/>
        <w:numId w:val="34"/>
      </w:numPr>
      <w:outlineLvl w:val="3"/>
    </w:pPr>
    <w:rPr>
      <w:rFonts w:eastAsia="Times New Roman" w:cs="Times New Roman"/>
      <w:bCs/>
      <w:szCs w:val="28"/>
      <w:lang w:eastAsia="en-GB"/>
    </w:rPr>
  </w:style>
  <w:style w:type="paragraph" w:styleId="Heading5">
    <w:name w:val="heading 5"/>
    <w:basedOn w:val="Normal"/>
    <w:next w:val="Normal"/>
    <w:unhideWhenUsed/>
    <w:qFormat/>
    <w:rsid w:val="00411DF4"/>
    <w:pPr>
      <w:numPr>
        <w:ilvl w:val="4"/>
        <w:numId w:val="34"/>
      </w:numPr>
      <w:outlineLvl w:val="4"/>
    </w:pPr>
    <w:rPr>
      <w:rFonts w:eastAsia="Times New Roman" w:cs="Times New Roman"/>
      <w:bCs/>
      <w:iCs/>
      <w:szCs w:val="26"/>
      <w:lang w:eastAsia="en-GB"/>
    </w:rPr>
  </w:style>
  <w:style w:type="paragraph" w:styleId="Heading6">
    <w:name w:val="heading 6"/>
    <w:basedOn w:val="Normal"/>
    <w:next w:val="Normal"/>
    <w:unhideWhenUsed/>
    <w:qFormat/>
    <w:rsid w:val="00411DF4"/>
    <w:pPr>
      <w:numPr>
        <w:ilvl w:val="5"/>
        <w:numId w:val="34"/>
      </w:numPr>
      <w:outlineLvl w:val="5"/>
    </w:pPr>
    <w:rPr>
      <w:rFonts w:eastAsia="Times New Roman" w:cs="Times New Roman"/>
      <w:bCs/>
      <w:lang w:eastAsia="en-GB"/>
    </w:rPr>
  </w:style>
  <w:style w:type="paragraph" w:styleId="Heading7">
    <w:name w:val="heading 7"/>
    <w:basedOn w:val="Normal"/>
    <w:next w:val="Normal"/>
    <w:unhideWhenUsed/>
    <w:qFormat/>
    <w:rsid w:val="00411DF4"/>
    <w:pPr>
      <w:numPr>
        <w:ilvl w:val="6"/>
        <w:numId w:val="34"/>
      </w:numPr>
      <w:outlineLvl w:val="6"/>
    </w:pPr>
    <w:rPr>
      <w:rFonts w:eastAsia="Times New Roman" w:cs="Times New Roman"/>
      <w:szCs w:val="24"/>
      <w:lang w:eastAsia="en-GB"/>
    </w:rPr>
  </w:style>
  <w:style w:type="paragraph" w:styleId="Heading8">
    <w:name w:val="heading 8"/>
    <w:basedOn w:val="Normal"/>
    <w:next w:val="Normal"/>
    <w:unhideWhenUsed/>
    <w:qFormat/>
    <w:rsid w:val="00411DF4"/>
    <w:pPr>
      <w:numPr>
        <w:ilvl w:val="7"/>
        <w:numId w:val="34"/>
      </w:numPr>
      <w:outlineLvl w:val="7"/>
    </w:pPr>
    <w:rPr>
      <w:rFonts w:eastAsia="Times New Roman" w:cs="Times New Roman"/>
      <w:iCs/>
      <w:szCs w:val="24"/>
      <w:lang w:eastAsia="en-GB"/>
    </w:rPr>
  </w:style>
  <w:style w:type="paragraph" w:styleId="Heading9">
    <w:name w:val="heading 9"/>
    <w:basedOn w:val="Normal"/>
    <w:next w:val="Normal"/>
    <w:unhideWhenUsed/>
    <w:qFormat/>
    <w:rsid w:val="00411DF4"/>
    <w:pPr>
      <w:numPr>
        <w:ilvl w:val="8"/>
        <w:numId w:val="34"/>
      </w:numPr>
      <w:outlineLvl w:val="8"/>
    </w:pPr>
    <w:rPr>
      <w:rFonts w:eastAsia="Times New Roman" w:cs="Arial"/>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unhideWhenUsed/>
    <w:rsid w:val="008B2EBD"/>
    <w:pPr>
      <w:spacing w:after="0" w:line="240" w:lineRule="auto"/>
    </w:pPr>
    <w:rPr>
      <w:sz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FSDraft">
    <w:name w:val="zFSDraft"/>
    <w:basedOn w:val="Normal"/>
    <w:uiPriority w:val="99"/>
    <w:semiHidden/>
    <w:unhideWhenUsed/>
    <w:rsid w:val="00AF69C6"/>
    <w:rPr>
      <w:rFonts w:cs="Times New Roman"/>
      <w:kern w:val="20"/>
    </w:rPr>
  </w:style>
  <w:style w:type="paragraph" w:customStyle="1" w:styleId="zFSDate">
    <w:name w:val="zFSDate"/>
    <w:basedOn w:val="Normal"/>
    <w:uiPriority w:val="99"/>
    <w:semiHidden/>
    <w:unhideWhenUsed/>
    <w:rsid w:val="00AF69C6"/>
    <w:pPr>
      <w:spacing w:before="80" w:after="80" w:line="290" w:lineRule="auto"/>
    </w:pPr>
    <w:rPr>
      <w:rFonts w:cs="Times New Roman"/>
      <w:sz w:val="24"/>
    </w:rPr>
  </w:style>
  <w:style w:type="paragraph" w:customStyle="1" w:styleId="zFSco-names">
    <w:name w:val="zFSco-names"/>
    <w:basedOn w:val="Normal"/>
    <w:next w:val="zFSand"/>
    <w:uiPriority w:val="99"/>
    <w:semiHidden/>
    <w:unhideWhenUsed/>
    <w:rsid w:val="0093377B"/>
    <w:pPr>
      <w:spacing w:before="120" w:after="120" w:line="290" w:lineRule="auto"/>
    </w:pPr>
    <w:rPr>
      <w:rFonts w:eastAsia="SimSun" w:cs="Times New Roman"/>
      <w:color w:val="000000" w:themeColor="text1"/>
      <w:kern w:val="24"/>
      <w:sz w:val="32"/>
      <w:szCs w:val="48"/>
    </w:rPr>
  </w:style>
  <w:style w:type="paragraph" w:customStyle="1" w:styleId="zFSand">
    <w:name w:val="zFSand"/>
    <w:basedOn w:val="Normal"/>
    <w:next w:val="zFSco-names"/>
    <w:uiPriority w:val="99"/>
    <w:semiHidden/>
    <w:unhideWhenUsed/>
    <w:rsid w:val="007B17F3"/>
    <w:pPr>
      <w:spacing w:after="180" w:line="290" w:lineRule="auto"/>
    </w:pPr>
    <w:rPr>
      <w:rFonts w:eastAsia="SimSun" w:cs="Times New Roman"/>
      <w:kern w:val="20"/>
      <w:szCs w:val="20"/>
    </w:rPr>
  </w:style>
  <w:style w:type="paragraph" w:customStyle="1" w:styleId="zFSNarrative">
    <w:name w:val="zFSNarrative"/>
    <w:basedOn w:val="Normal"/>
    <w:uiPriority w:val="99"/>
    <w:semiHidden/>
    <w:unhideWhenUsed/>
    <w:rsid w:val="00AF69C6"/>
    <w:pPr>
      <w:spacing w:before="60" w:after="60" w:line="290" w:lineRule="auto"/>
    </w:pPr>
    <w:rPr>
      <w:rFonts w:cs="Times New Roman"/>
      <w:color w:val="000000" w:themeColor="text1"/>
      <w:kern w:val="20"/>
      <w:sz w:val="24"/>
    </w:rPr>
  </w:style>
  <w:style w:type="paragraph" w:customStyle="1" w:styleId="zFSTitle">
    <w:name w:val="zFSTitle"/>
    <w:basedOn w:val="Normal"/>
    <w:uiPriority w:val="99"/>
    <w:semiHidden/>
    <w:unhideWhenUsed/>
    <w:rsid w:val="00AF69C6"/>
    <w:pPr>
      <w:spacing w:before="60" w:after="60" w:line="290" w:lineRule="auto"/>
    </w:pPr>
    <w:rPr>
      <w:rFonts w:cs="Times New Roman"/>
      <w:color w:val="AF005F" w:themeColor="text2"/>
      <w:sz w:val="36"/>
      <w:szCs w:val="32"/>
    </w:rPr>
  </w:style>
  <w:style w:type="paragraph" w:customStyle="1" w:styleId="zFSAddress">
    <w:name w:val="zFSAddress"/>
    <w:basedOn w:val="Normal"/>
    <w:uiPriority w:val="99"/>
    <w:semiHidden/>
    <w:unhideWhenUsed/>
    <w:rsid w:val="00A6485C"/>
    <w:pPr>
      <w:spacing w:line="290" w:lineRule="auto"/>
    </w:pPr>
    <w:rPr>
      <w:rFonts w:cs="Times New Roman"/>
      <w:kern w:val="16"/>
      <w:sz w:val="16"/>
    </w:rPr>
  </w:style>
  <w:style w:type="paragraph" w:customStyle="1" w:styleId="zFSTel">
    <w:name w:val="zFSTel"/>
    <w:basedOn w:val="Normal"/>
    <w:uiPriority w:val="99"/>
    <w:semiHidden/>
    <w:unhideWhenUsed/>
    <w:rsid w:val="00A6485C"/>
    <w:rPr>
      <w:rFonts w:cs="Times New Roman"/>
      <w:kern w:val="16"/>
      <w:sz w:val="16"/>
    </w:rPr>
  </w:style>
  <w:style w:type="paragraph" w:customStyle="1" w:styleId="zFSFax">
    <w:name w:val="zFSFax"/>
    <w:basedOn w:val="Normal"/>
    <w:uiPriority w:val="99"/>
    <w:semiHidden/>
    <w:unhideWhenUsed/>
    <w:rsid w:val="00A6485C"/>
    <w:rPr>
      <w:rFonts w:cs="Times New Roman"/>
      <w:kern w:val="16"/>
      <w:sz w:val="16"/>
    </w:rPr>
  </w:style>
  <w:style w:type="paragraph" w:customStyle="1" w:styleId="zSFRef">
    <w:name w:val="zSFRef"/>
    <w:basedOn w:val="Normal"/>
    <w:uiPriority w:val="99"/>
    <w:semiHidden/>
    <w:unhideWhenUsed/>
    <w:rsid w:val="00AF69C6"/>
    <w:rPr>
      <w:rFonts w:cs="Times New Roman"/>
      <w:kern w:val="16"/>
      <w:sz w:val="16"/>
    </w:rPr>
  </w:style>
  <w:style w:type="paragraph" w:customStyle="1" w:styleId="zFSAddress2">
    <w:name w:val="zFSAddress2"/>
    <w:basedOn w:val="Normal"/>
    <w:uiPriority w:val="99"/>
    <w:semiHidden/>
    <w:unhideWhenUsed/>
    <w:rsid w:val="00A6485C"/>
    <w:pPr>
      <w:spacing w:line="290" w:lineRule="auto"/>
    </w:pPr>
    <w:rPr>
      <w:rFonts w:cs="Times New Roman"/>
      <w:kern w:val="16"/>
      <w:sz w:val="16"/>
    </w:rPr>
  </w:style>
  <w:style w:type="paragraph" w:customStyle="1" w:styleId="Body">
    <w:name w:val="Body"/>
    <w:basedOn w:val="Normal"/>
    <w:rsid w:val="00BB7A29"/>
    <w:pPr>
      <w:spacing w:after="140" w:line="290" w:lineRule="auto"/>
      <w:jc w:val="both"/>
    </w:pPr>
    <w:rPr>
      <w:rFonts w:cs="Times New Roman"/>
      <w:kern w:val="20"/>
    </w:rPr>
  </w:style>
  <w:style w:type="paragraph" w:styleId="Header">
    <w:name w:val="header"/>
    <w:basedOn w:val="Normal"/>
    <w:unhideWhenUsed/>
    <w:rsid w:val="00CF1782"/>
    <w:pPr>
      <w:tabs>
        <w:tab w:val="center" w:pos="4366"/>
        <w:tab w:val="right" w:pos="8732"/>
      </w:tabs>
    </w:pPr>
    <w:rPr>
      <w:rFonts w:eastAsia="Times New Roman" w:cs="Times New Roman"/>
      <w:kern w:val="20"/>
      <w:szCs w:val="24"/>
      <w:lang w:eastAsia="en-GB"/>
    </w:rPr>
  </w:style>
  <w:style w:type="paragraph" w:styleId="Footer">
    <w:name w:val="footer"/>
    <w:basedOn w:val="Normal"/>
    <w:unhideWhenUsed/>
    <w:rsid w:val="00606BD0"/>
    <w:pPr>
      <w:spacing w:before="120" w:after="120" w:line="290" w:lineRule="auto"/>
      <w:jc w:val="both"/>
    </w:pPr>
    <w:rPr>
      <w:sz w:val="16"/>
    </w:rPr>
  </w:style>
  <w:style w:type="paragraph" w:customStyle="1" w:styleId="alpha1">
    <w:name w:val="alpha 1"/>
    <w:basedOn w:val="Normal"/>
    <w:rsid w:val="00D23A38"/>
    <w:pPr>
      <w:numPr>
        <w:numId w:val="79"/>
      </w:numPr>
      <w:spacing w:after="140" w:line="290" w:lineRule="auto"/>
      <w:jc w:val="both"/>
      <w:outlineLvl w:val="0"/>
    </w:pPr>
    <w:rPr>
      <w:rFonts w:cs="Times New Roman"/>
      <w:kern w:val="20"/>
    </w:rPr>
  </w:style>
  <w:style w:type="paragraph" w:customStyle="1" w:styleId="alpha2">
    <w:name w:val="alpha 2"/>
    <w:basedOn w:val="Normal"/>
    <w:rsid w:val="00D23A38"/>
    <w:pPr>
      <w:numPr>
        <w:ilvl w:val="1"/>
        <w:numId w:val="79"/>
      </w:numPr>
      <w:spacing w:after="140" w:line="290" w:lineRule="auto"/>
      <w:jc w:val="both"/>
      <w:outlineLvl w:val="1"/>
    </w:pPr>
    <w:rPr>
      <w:rFonts w:cs="Times New Roman"/>
      <w:kern w:val="20"/>
    </w:rPr>
  </w:style>
  <w:style w:type="paragraph" w:customStyle="1" w:styleId="alpha3">
    <w:name w:val="alpha 3"/>
    <w:basedOn w:val="Normal"/>
    <w:rsid w:val="00D23A38"/>
    <w:pPr>
      <w:numPr>
        <w:ilvl w:val="2"/>
        <w:numId w:val="79"/>
      </w:numPr>
      <w:spacing w:after="140" w:line="290" w:lineRule="auto"/>
      <w:jc w:val="both"/>
      <w:outlineLvl w:val="2"/>
    </w:pPr>
    <w:rPr>
      <w:rFonts w:cs="Times New Roman"/>
      <w:kern w:val="20"/>
    </w:rPr>
  </w:style>
  <w:style w:type="paragraph" w:customStyle="1" w:styleId="alpha4">
    <w:name w:val="alpha 4"/>
    <w:basedOn w:val="Normal"/>
    <w:rsid w:val="00D23A38"/>
    <w:pPr>
      <w:numPr>
        <w:ilvl w:val="3"/>
        <w:numId w:val="79"/>
      </w:numPr>
      <w:spacing w:after="140" w:line="290" w:lineRule="auto"/>
      <w:jc w:val="both"/>
      <w:outlineLvl w:val="3"/>
    </w:pPr>
    <w:rPr>
      <w:rFonts w:cs="Times New Roman"/>
      <w:kern w:val="20"/>
    </w:rPr>
  </w:style>
  <w:style w:type="paragraph" w:customStyle="1" w:styleId="alpha5">
    <w:name w:val="alpha 5"/>
    <w:basedOn w:val="Normal"/>
    <w:rsid w:val="00D23A38"/>
    <w:pPr>
      <w:numPr>
        <w:ilvl w:val="4"/>
        <w:numId w:val="79"/>
      </w:numPr>
      <w:spacing w:after="140" w:line="290" w:lineRule="auto"/>
      <w:jc w:val="both"/>
      <w:outlineLvl w:val="4"/>
    </w:pPr>
    <w:rPr>
      <w:rFonts w:cs="Times New Roman"/>
      <w:kern w:val="20"/>
    </w:rPr>
  </w:style>
  <w:style w:type="paragraph" w:customStyle="1" w:styleId="alpha6">
    <w:name w:val="alpha 6"/>
    <w:basedOn w:val="Normal"/>
    <w:rsid w:val="00D23A38"/>
    <w:pPr>
      <w:numPr>
        <w:ilvl w:val="5"/>
        <w:numId w:val="79"/>
      </w:numPr>
      <w:spacing w:after="140" w:line="290" w:lineRule="auto"/>
      <w:jc w:val="both"/>
      <w:outlineLvl w:val="5"/>
    </w:pPr>
    <w:rPr>
      <w:rFonts w:cs="Times New Roman"/>
      <w:kern w:val="20"/>
    </w:rPr>
  </w:style>
  <w:style w:type="paragraph" w:customStyle="1" w:styleId="Body1">
    <w:name w:val="Body 1"/>
    <w:basedOn w:val="Normal"/>
    <w:rsid w:val="00BA0253"/>
    <w:pPr>
      <w:spacing w:after="140" w:line="290" w:lineRule="auto"/>
      <w:ind w:left="680"/>
      <w:jc w:val="both"/>
    </w:pPr>
    <w:rPr>
      <w:rFonts w:cs="Times New Roman"/>
      <w:kern w:val="20"/>
    </w:rPr>
  </w:style>
  <w:style w:type="paragraph" w:customStyle="1" w:styleId="Body2">
    <w:name w:val="Body 2"/>
    <w:basedOn w:val="Normal"/>
    <w:rsid w:val="00BA0253"/>
    <w:pPr>
      <w:spacing w:after="140" w:line="290" w:lineRule="auto"/>
      <w:ind w:left="680"/>
      <w:jc w:val="both"/>
    </w:pPr>
    <w:rPr>
      <w:rFonts w:cs="Times New Roman"/>
      <w:kern w:val="20"/>
    </w:rPr>
  </w:style>
  <w:style w:type="paragraph" w:customStyle="1" w:styleId="Body3">
    <w:name w:val="Body 3"/>
    <w:basedOn w:val="Normal"/>
    <w:rsid w:val="00BA0253"/>
    <w:pPr>
      <w:spacing w:after="140" w:line="290" w:lineRule="auto"/>
      <w:ind w:left="1361"/>
      <w:jc w:val="both"/>
    </w:pPr>
    <w:rPr>
      <w:rFonts w:cs="Times New Roman"/>
      <w:kern w:val="20"/>
    </w:rPr>
  </w:style>
  <w:style w:type="paragraph" w:customStyle="1" w:styleId="Body4">
    <w:name w:val="Body 4"/>
    <w:basedOn w:val="Normal"/>
    <w:rsid w:val="00BA0253"/>
    <w:pPr>
      <w:spacing w:after="140" w:line="290" w:lineRule="auto"/>
      <w:ind w:left="2041"/>
      <w:jc w:val="both"/>
    </w:pPr>
    <w:rPr>
      <w:rFonts w:cs="Times New Roman"/>
      <w:kern w:val="20"/>
    </w:rPr>
  </w:style>
  <w:style w:type="paragraph" w:customStyle="1" w:styleId="Body5">
    <w:name w:val="Body 5"/>
    <w:basedOn w:val="Normal"/>
    <w:rsid w:val="00BA0253"/>
    <w:pPr>
      <w:spacing w:after="140" w:line="290" w:lineRule="auto"/>
      <w:ind w:left="2722"/>
      <w:jc w:val="both"/>
    </w:pPr>
    <w:rPr>
      <w:rFonts w:cs="Times New Roman"/>
      <w:kern w:val="20"/>
    </w:rPr>
  </w:style>
  <w:style w:type="paragraph" w:customStyle="1" w:styleId="Body6">
    <w:name w:val="Body 6"/>
    <w:basedOn w:val="Normal"/>
    <w:rsid w:val="00BA0253"/>
    <w:pPr>
      <w:spacing w:after="140" w:line="290" w:lineRule="auto"/>
      <w:ind w:left="3402"/>
      <w:jc w:val="both"/>
    </w:pPr>
    <w:rPr>
      <w:rFonts w:cs="Times New Roman"/>
      <w:kern w:val="20"/>
    </w:rPr>
  </w:style>
  <w:style w:type="paragraph" w:customStyle="1" w:styleId="bullet1">
    <w:name w:val="bullet 1"/>
    <w:basedOn w:val="Normal"/>
    <w:rsid w:val="00D23A38"/>
    <w:pPr>
      <w:numPr>
        <w:numId w:val="40"/>
      </w:numPr>
      <w:spacing w:after="140" w:line="290" w:lineRule="auto"/>
      <w:jc w:val="both"/>
      <w:outlineLvl w:val="0"/>
    </w:pPr>
    <w:rPr>
      <w:rFonts w:cs="Times New Roman"/>
      <w:kern w:val="20"/>
    </w:rPr>
  </w:style>
  <w:style w:type="paragraph" w:customStyle="1" w:styleId="bullet2">
    <w:name w:val="bullet 2"/>
    <w:basedOn w:val="Normal"/>
    <w:rsid w:val="00D23A38"/>
    <w:pPr>
      <w:numPr>
        <w:ilvl w:val="1"/>
        <w:numId w:val="40"/>
      </w:numPr>
      <w:spacing w:after="140" w:line="290" w:lineRule="auto"/>
      <w:jc w:val="both"/>
      <w:outlineLvl w:val="1"/>
    </w:pPr>
    <w:rPr>
      <w:rFonts w:cs="Times New Roman"/>
      <w:kern w:val="20"/>
    </w:rPr>
  </w:style>
  <w:style w:type="paragraph" w:customStyle="1" w:styleId="bullet3">
    <w:name w:val="bullet 3"/>
    <w:basedOn w:val="Normal"/>
    <w:rsid w:val="00D23A38"/>
    <w:pPr>
      <w:numPr>
        <w:ilvl w:val="2"/>
        <w:numId w:val="40"/>
      </w:numPr>
      <w:spacing w:after="140" w:line="290" w:lineRule="auto"/>
      <w:jc w:val="both"/>
      <w:outlineLvl w:val="2"/>
    </w:pPr>
    <w:rPr>
      <w:rFonts w:cs="Times New Roman"/>
      <w:kern w:val="20"/>
    </w:rPr>
  </w:style>
  <w:style w:type="paragraph" w:customStyle="1" w:styleId="bullet4">
    <w:name w:val="bullet 4"/>
    <w:basedOn w:val="Normal"/>
    <w:rsid w:val="00D23A38"/>
    <w:pPr>
      <w:numPr>
        <w:ilvl w:val="3"/>
        <w:numId w:val="40"/>
      </w:numPr>
      <w:spacing w:after="140" w:line="290" w:lineRule="auto"/>
      <w:jc w:val="both"/>
      <w:outlineLvl w:val="3"/>
    </w:pPr>
    <w:rPr>
      <w:rFonts w:cs="Times New Roman"/>
      <w:kern w:val="20"/>
    </w:rPr>
  </w:style>
  <w:style w:type="paragraph" w:customStyle="1" w:styleId="bullet5">
    <w:name w:val="bullet 5"/>
    <w:basedOn w:val="Normal"/>
    <w:rsid w:val="00D23A38"/>
    <w:pPr>
      <w:numPr>
        <w:ilvl w:val="4"/>
        <w:numId w:val="40"/>
      </w:numPr>
      <w:spacing w:after="140" w:line="290" w:lineRule="auto"/>
      <w:jc w:val="both"/>
      <w:outlineLvl w:val="4"/>
    </w:pPr>
    <w:rPr>
      <w:rFonts w:cs="Times New Roman"/>
      <w:kern w:val="20"/>
    </w:rPr>
  </w:style>
  <w:style w:type="paragraph" w:customStyle="1" w:styleId="bullet6">
    <w:name w:val="bullet 6"/>
    <w:basedOn w:val="Normal"/>
    <w:rsid w:val="00D23A38"/>
    <w:pPr>
      <w:numPr>
        <w:ilvl w:val="5"/>
        <w:numId w:val="40"/>
      </w:numPr>
      <w:spacing w:after="140" w:line="290" w:lineRule="auto"/>
      <w:jc w:val="both"/>
      <w:outlineLvl w:val="5"/>
    </w:pPr>
    <w:rPr>
      <w:rFonts w:cs="Times New Roman"/>
      <w:kern w:val="20"/>
    </w:rPr>
  </w:style>
  <w:style w:type="paragraph" w:customStyle="1" w:styleId="CellBody">
    <w:name w:val="CellBody"/>
    <w:basedOn w:val="Normal"/>
    <w:rsid w:val="00502F67"/>
    <w:pPr>
      <w:spacing w:before="60" w:after="60" w:line="290" w:lineRule="auto"/>
    </w:pPr>
    <w:rPr>
      <w:rFonts w:cs="Times New Roman"/>
      <w:kern w:val="20"/>
    </w:rPr>
  </w:style>
  <w:style w:type="paragraph" w:customStyle="1" w:styleId="CellHead">
    <w:name w:val="CellHead"/>
    <w:basedOn w:val="Normal"/>
    <w:rsid w:val="00F978CE"/>
    <w:pPr>
      <w:keepNext/>
      <w:spacing w:before="60" w:after="60" w:line="259" w:lineRule="auto"/>
    </w:pPr>
    <w:rPr>
      <w:rFonts w:cs="Times New Roman"/>
      <w:b/>
      <w:kern w:val="20"/>
    </w:rPr>
  </w:style>
  <w:style w:type="paragraph" w:customStyle="1" w:styleId="dashbullet1">
    <w:name w:val="dash bullet 1"/>
    <w:basedOn w:val="Normal"/>
    <w:rsid w:val="00D23A38"/>
    <w:pPr>
      <w:numPr>
        <w:numId w:val="39"/>
      </w:numPr>
      <w:spacing w:after="140" w:line="290" w:lineRule="auto"/>
      <w:jc w:val="both"/>
      <w:outlineLvl w:val="0"/>
    </w:pPr>
    <w:rPr>
      <w:rFonts w:cs="Times New Roman"/>
      <w:kern w:val="20"/>
    </w:rPr>
  </w:style>
  <w:style w:type="paragraph" w:customStyle="1" w:styleId="dashbullet2">
    <w:name w:val="dash bullet 2"/>
    <w:basedOn w:val="Normal"/>
    <w:rsid w:val="00D23A38"/>
    <w:pPr>
      <w:numPr>
        <w:ilvl w:val="1"/>
        <w:numId w:val="39"/>
      </w:numPr>
      <w:spacing w:after="140" w:line="290" w:lineRule="auto"/>
      <w:jc w:val="both"/>
      <w:outlineLvl w:val="1"/>
    </w:pPr>
    <w:rPr>
      <w:rFonts w:cs="Times New Roman"/>
      <w:kern w:val="20"/>
    </w:rPr>
  </w:style>
  <w:style w:type="paragraph" w:customStyle="1" w:styleId="dashbullet3">
    <w:name w:val="dash bullet 3"/>
    <w:basedOn w:val="Normal"/>
    <w:rsid w:val="00D23A38"/>
    <w:pPr>
      <w:numPr>
        <w:ilvl w:val="2"/>
        <w:numId w:val="39"/>
      </w:numPr>
      <w:spacing w:after="140" w:line="290" w:lineRule="auto"/>
      <w:jc w:val="both"/>
      <w:outlineLvl w:val="2"/>
    </w:pPr>
    <w:rPr>
      <w:rFonts w:cs="Times New Roman"/>
      <w:kern w:val="20"/>
    </w:rPr>
  </w:style>
  <w:style w:type="paragraph" w:customStyle="1" w:styleId="dashbullet4">
    <w:name w:val="dash bullet 4"/>
    <w:basedOn w:val="Normal"/>
    <w:rsid w:val="00D23A38"/>
    <w:pPr>
      <w:numPr>
        <w:ilvl w:val="3"/>
        <w:numId w:val="39"/>
      </w:numPr>
      <w:spacing w:after="140" w:line="290" w:lineRule="auto"/>
      <w:jc w:val="both"/>
      <w:outlineLvl w:val="3"/>
    </w:pPr>
    <w:rPr>
      <w:rFonts w:cs="Times New Roman"/>
      <w:kern w:val="20"/>
    </w:rPr>
  </w:style>
  <w:style w:type="paragraph" w:customStyle="1" w:styleId="dashbullet5">
    <w:name w:val="dash bullet 5"/>
    <w:basedOn w:val="Normal"/>
    <w:rsid w:val="00D23A38"/>
    <w:pPr>
      <w:numPr>
        <w:ilvl w:val="4"/>
        <w:numId w:val="39"/>
      </w:numPr>
      <w:spacing w:after="140" w:line="290" w:lineRule="auto"/>
      <w:jc w:val="both"/>
      <w:outlineLvl w:val="4"/>
    </w:pPr>
    <w:rPr>
      <w:rFonts w:cs="Times New Roman"/>
      <w:kern w:val="20"/>
    </w:rPr>
  </w:style>
  <w:style w:type="paragraph" w:customStyle="1" w:styleId="dashbullet6">
    <w:name w:val="dash bullet 6"/>
    <w:basedOn w:val="Normal"/>
    <w:rsid w:val="00D23A38"/>
    <w:pPr>
      <w:numPr>
        <w:ilvl w:val="5"/>
        <w:numId w:val="39"/>
      </w:numPr>
      <w:spacing w:after="140" w:line="290" w:lineRule="auto"/>
      <w:jc w:val="both"/>
      <w:outlineLvl w:val="5"/>
    </w:pPr>
    <w:rPr>
      <w:rFonts w:cs="Times New Roman"/>
      <w:kern w:val="20"/>
    </w:rPr>
  </w:style>
  <w:style w:type="paragraph" w:customStyle="1" w:styleId="DocExCode">
    <w:name w:val="DocExCode"/>
    <w:basedOn w:val="Normal"/>
    <w:rsid w:val="0084230F"/>
    <w:pPr>
      <w:pBdr>
        <w:top w:val="single" w:sz="4" w:space="1" w:color="auto"/>
      </w:pBdr>
    </w:pPr>
    <w:rPr>
      <w:rFonts w:cs="Times New Roman"/>
      <w:sz w:val="16"/>
    </w:rPr>
  </w:style>
  <w:style w:type="paragraph" w:customStyle="1" w:styleId="DocExCode-NoLine">
    <w:name w:val="DocExCode - No Line"/>
    <w:basedOn w:val="DocExCode"/>
    <w:rsid w:val="0084230F"/>
    <w:pPr>
      <w:pBdr>
        <w:top w:val="none" w:sz="0" w:space="0" w:color="auto"/>
      </w:pBdr>
    </w:pPr>
  </w:style>
  <w:style w:type="paragraph" w:customStyle="1" w:styleId="doublealpha">
    <w:name w:val="double alpha"/>
    <w:basedOn w:val="Normal"/>
    <w:rsid w:val="00D23A38"/>
    <w:pPr>
      <w:numPr>
        <w:numId w:val="41"/>
      </w:numPr>
      <w:spacing w:after="140" w:line="290" w:lineRule="auto"/>
      <w:jc w:val="both"/>
    </w:pPr>
    <w:rPr>
      <w:rFonts w:cs="Times New Roman"/>
      <w:kern w:val="20"/>
    </w:rPr>
  </w:style>
  <w:style w:type="paragraph" w:customStyle="1" w:styleId="engageBody">
    <w:name w:val="engage_Body"/>
    <w:basedOn w:val="Normal"/>
    <w:rsid w:val="0084230F"/>
    <w:pPr>
      <w:spacing w:after="140" w:line="290" w:lineRule="auto"/>
      <w:jc w:val="both"/>
    </w:pPr>
    <w:rPr>
      <w:rFonts w:cs="Times New Roman"/>
      <w:sz w:val="13"/>
    </w:rPr>
  </w:style>
  <w:style w:type="paragraph" w:customStyle="1" w:styleId="engageL1">
    <w:name w:val="engage_L1"/>
    <w:basedOn w:val="Normal"/>
    <w:rsid w:val="00725E64"/>
    <w:pPr>
      <w:keepNext/>
      <w:numPr>
        <w:numId w:val="42"/>
      </w:numPr>
      <w:spacing w:after="140" w:line="290" w:lineRule="auto"/>
    </w:pPr>
    <w:rPr>
      <w:rFonts w:cs="Times New Roman"/>
      <w:b/>
      <w:sz w:val="13"/>
    </w:rPr>
  </w:style>
  <w:style w:type="paragraph" w:customStyle="1" w:styleId="engageL2">
    <w:name w:val="engage_L2"/>
    <w:basedOn w:val="Normal"/>
    <w:qFormat/>
    <w:rsid w:val="00D23A38"/>
    <w:pPr>
      <w:numPr>
        <w:ilvl w:val="1"/>
        <w:numId w:val="42"/>
      </w:numPr>
      <w:spacing w:after="140" w:line="290" w:lineRule="auto"/>
      <w:jc w:val="both"/>
    </w:pPr>
    <w:rPr>
      <w:rFonts w:cs="Times New Roman"/>
      <w:sz w:val="13"/>
    </w:rPr>
  </w:style>
  <w:style w:type="paragraph" w:customStyle="1" w:styleId="engageTitle">
    <w:name w:val="engage_Title"/>
    <w:basedOn w:val="Normal"/>
    <w:next w:val="engageBody"/>
    <w:rsid w:val="0084230F"/>
    <w:pPr>
      <w:spacing w:after="240"/>
      <w:jc w:val="center"/>
    </w:pPr>
    <w:rPr>
      <w:rFonts w:cs="Times New Roman"/>
      <w:b/>
    </w:rPr>
  </w:style>
  <w:style w:type="paragraph" w:customStyle="1" w:styleId="Level1">
    <w:name w:val="Level 1"/>
    <w:basedOn w:val="Normal"/>
    <w:next w:val="Body1"/>
    <w:rsid w:val="00A170EE"/>
    <w:pPr>
      <w:keepNext/>
      <w:numPr>
        <w:numId w:val="149"/>
      </w:numPr>
      <w:spacing w:before="280" w:after="140" w:line="290" w:lineRule="auto"/>
      <w:jc w:val="both"/>
      <w:outlineLvl w:val="0"/>
    </w:pPr>
    <w:rPr>
      <w:rFonts w:cs="Times New Roman"/>
      <w:b/>
      <w:bCs/>
      <w:kern w:val="20"/>
      <w:sz w:val="22"/>
      <w:szCs w:val="32"/>
    </w:rPr>
  </w:style>
  <w:style w:type="paragraph" w:customStyle="1" w:styleId="Head">
    <w:name w:val="Head"/>
    <w:basedOn w:val="Normal"/>
    <w:next w:val="Body"/>
    <w:rsid w:val="00A802B6"/>
    <w:pPr>
      <w:keepNext/>
      <w:spacing w:before="280" w:after="140" w:line="290" w:lineRule="auto"/>
      <w:jc w:val="both"/>
      <w:outlineLvl w:val="0"/>
    </w:pPr>
    <w:rPr>
      <w:rFonts w:cs="Times New Roman"/>
      <w:b/>
      <w:kern w:val="28"/>
      <w:sz w:val="23"/>
    </w:rPr>
  </w:style>
  <w:style w:type="paragraph" w:customStyle="1" w:styleId="Head1">
    <w:name w:val="Head 1"/>
    <w:basedOn w:val="Normal"/>
    <w:next w:val="Body1"/>
    <w:qFormat/>
    <w:rsid w:val="00A802B6"/>
    <w:pPr>
      <w:keepNext/>
      <w:spacing w:before="280" w:after="140" w:line="290" w:lineRule="auto"/>
      <w:ind w:left="680"/>
      <w:jc w:val="both"/>
      <w:outlineLvl w:val="0"/>
    </w:pPr>
    <w:rPr>
      <w:rFonts w:cs="Times New Roman"/>
      <w:b/>
      <w:kern w:val="22"/>
      <w:sz w:val="22"/>
    </w:rPr>
  </w:style>
  <w:style w:type="paragraph" w:customStyle="1" w:styleId="Head2">
    <w:name w:val="Head 2"/>
    <w:basedOn w:val="Normal"/>
    <w:next w:val="Body3"/>
    <w:rsid w:val="00A802B6"/>
    <w:pPr>
      <w:keepNext/>
      <w:spacing w:before="280" w:after="60" w:line="290" w:lineRule="auto"/>
      <w:ind w:left="1361"/>
      <w:jc w:val="both"/>
      <w:outlineLvl w:val="1"/>
    </w:pPr>
    <w:rPr>
      <w:rFonts w:cs="Times New Roman"/>
      <w:b/>
      <w:kern w:val="21"/>
      <w:sz w:val="21"/>
    </w:rPr>
  </w:style>
  <w:style w:type="paragraph" w:customStyle="1" w:styleId="Head3">
    <w:name w:val="Head 3"/>
    <w:basedOn w:val="Normal"/>
    <w:next w:val="Body4"/>
    <w:rsid w:val="00A802B6"/>
    <w:pPr>
      <w:keepNext/>
      <w:spacing w:before="280" w:after="40" w:line="290" w:lineRule="auto"/>
      <w:ind w:left="2041"/>
      <w:jc w:val="both"/>
      <w:outlineLvl w:val="2"/>
    </w:pPr>
    <w:rPr>
      <w:rFonts w:cs="Times New Roman"/>
      <w:b/>
      <w:kern w:val="20"/>
    </w:rPr>
  </w:style>
  <w:style w:type="paragraph" w:customStyle="1" w:styleId="Level2">
    <w:name w:val="Level 2"/>
    <w:basedOn w:val="Normal"/>
    <w:qFormat/>
    <w:rsid w:val="00B77D72"/>
    <w:pPr>
      <w:numPr>
        <w:ilvl w:val="1"/>
        <w:numId w:val="149"/>
      </w:numPr>
      <w:spacing w:after="140" w:line="290" w:lineRule="auto"/>
      <w:jc w:val="both"/>
      <w:outlineLvl w:val="1"/>
    </w:pPr>
    <w:rPr>
      <w:rFonts w:cs="Times New Roman"/>
      <w:kern w:val="20"/>
      <w:szCs w:val="28"/>
    </w:rPr>
  </w:style>
  <w:style w:type="paragraph" w:customStyle="1" w:styleId="Level3">
    <w:name w:val="Level 3"/>
    <w:basedOn w:val="Normal"/>
    <w:link w:val="Level3Char"/>
    <w:rsid w:val="001A0472"/>
    <w:pPr>
      <w:numPr>
        <w:ilvl w:val="2"/>
        <w:numId w:val="149"/>
      </w:numPr>
      <w:spacing w:after="140" w:line="290" w:lineRule="auto"/>
      <w:jc w:val="both"/>
      <w:outlineLvl w:val="2"/>
    </w:pPr>
    <w:rPr>
      <w:rFonts w:cs="Times New Roman"/>
      <w:kern w:val="20"/>
    </w:rPr>
  </w:style>
  <w:style w:type="paragraph" w:customStyle="1" w:styleId="Level4">
    <w:name w:val="Level 4"/>
    <w:basedOn w:val="Normal"/>
    <w:rsid w:val="00514E78"/>
    <w:pPr>
      <w:numPr>
        <w:ilvl w:val="3"/>
        <w:numId w:val="149"/>
      </w:numPr>
      <w:spacing w:after="140" w:line="290" w:lineRule="auto"/>
      <w:jc w:val="both"/>
      <w:outlineLvl w:val="3"/>
    </w:pPr>
    <w:rPr>
      <w:rFonts w:cs="Times New Roman"/>
      <w:kern w:val="20"/>
    </w:rPr>
  </w:style>
  <w:style w:type="paragraph" w:customStyle="1" w:styleId="Level5">
    <w:name w:val="Level 5"/>
    <w:basedOn w:val="Normal"/>
    <w:rsid w:val="00514E78"/>
    <w:pPr>
      <w:numPr>
        <w:ilvl w:val="4"/>
        <w:numId w:val="149"/>
      </w:numPr>
      <w:spacing w:after="140" w:line="290" w:lineRule="auto"/>
      <w:jc w:val="both"/>
      <w:outlineLvl w:val="4"/>
    </w:pPr>
    <w:rPr>
      <w:rFonts w:cs="Times New Roman"/>
      <w:kern w:val="20"/>
    </w:rPr>
  </w:style>
  <w:style w:type="paragraph" w:customStyle="1" w:styleId="Level6">
    <w:name w:val="Level 6"/>
    <w:basedOn w:val="Normal"/>
    <w:rsid w:val="00514E78"/>
    <w:pPr>
      <w:numPr>
        <w:ilvl w:val="5"/>
        <w:numId w:val="149"/>
      </w:numPr>
      <w:spacing w:after="140" w:line="290" w:lineRule="auto"/>
      <w:jc w:val="both"/>
      <w:outlineLvl w:val="5"/>
    </w:pPr>
    <w:rPr>
      <w:rFonts w:cs="Times New Roman"/>
      <w:kern w:val="20"/>
    </w:rPr>
  </w:style>
  <w:style w:type="paragraph" w:customStyle="1" w:styleId="Level7">
    <w:name w:val="Level 7"/>
    <w:basedOn w:val="Normal"/>
    <w:rsid w:val="00B77D72"/>
    <w:pPr>
      <w:numPr>
        <w:ilvl w:val="6"/>
        <w:numId w:val="149"/>
      </w:numPr>
      <w:spacing w:after="140" w:line="290" w:lineRule="auto"/>
      <w:jc w:val="both"/>
      <w:outlineLvl w:val="6"/>
    </w:pPr>
    <w:rPr>
      <w:rFonts w:cs="Times New Roman"/>
      <w:kern w:val="20"/>
    </w:rPr>
  </w:style>
  <w:style w:type="paragraph" w:customStyle="1" w:styleId="Level8">
    <w:name w:val="Level 8"/>
    <w:basedOn w:val="Normal"/>
    <w:rsid w:val="00514E78"/>
    <w:pPr>
      <w:numPr>
        <w:ilvl w:val="7"/>
        <w:numId w:val="149"/>
      </w:numPr>
      <w:spacing w:after="140" w:line="290" w:lineRule="auto"/>
      <w:jc w:val="both"/>
      <w:outlineLvl w:val="7"/>
    </w:pPr>
    <w:rPr>
      <w:rFonts w:cs="Times New Roman"/>
      <w:kern w:val="20"/>
    </w:rPr>
  </w:style>
  <w:style w:type="paragraph" w:customStyle="1" w:styleId="Level9">
    <w:name w:val="Level 9"/>
    <w:basedOn w:val="Normal"/>
    <w:rsid w:val="00514E78"/>
    <w:pPr>
      <w:numPr>
        <w:ilvl w:val="8"/>
        <w:numId w:val="149"/>
      </w:numPr>
      <w:spacing w:after="140" w:line="290" w:lineRule="auto"/>
      <w:jc w:val="both"/>
      <w:outlineLvl w:val="8"/>
    </w:pPr>
    <w:rPr>
      <w:rFonts w:cs="Times New Roman"/>
      <w:kern w:val="20"/>
    </w:rPr>
  </w:style>
  <w:style w:type="paragraph" w:customStyle="1" w:styleId="ListNumbers">
    <w:name w:val="List Numbers"/>
    <w:basedOn w:val="Normal"/>
    <w:rsid w:val="008B1D97"/>
    <w:pPr>
      <w:numPr>
        <w:numId w:val="43"/>
      </w:numPr>
      <w:spacing w:after="140" w:line="290" w:lineRule="auto"/>
      <w:jc w:val="both"/>
      <w:outlineLvl w:val="0"/>
    </w:pPr>
    <w:rPr>
      <w:rFonts w:cs="Times New Roman"/>
      <w:kern w:val="20"/>
    </w:rPr>
  </w:style>
  <w:style w:type="paragraph" w:customStyle="1" w:styleId="Parties">
    <w:name w:val="Parties"/>
    <w:basedOn w:val="Normal"/>
    <w:rsid w:val="008B1D97"/>
    <w:pPr>
      <w:numPr>
        <w:numId w:val="44"/>
      </w:numPr>
      <w:spacing w:after="140" w:line="290" w:lineRule="auto"/>
      <w:jc w:val="both"/>
    </w:pPr>
    <w:rPr>
      <w:rFonts w:cs="Times New Roman"/>
      <w:kern w:val="20"/>
    </w:rPr>
  </w:style>
  <w:style w:type="paragraph" w:customStyle="1" w:styleId="Recitals">
    <w:name w:val="Recitals"/>
    <w:basedOn w:val="Normal"/>
    <w:rsid w:val="008B1D97"/>
    <w:pPr>
      <w:numPr>
        <w:numId w:val="45"/>
      </w:numPr>
      <w:spacing w:after="140" w:line="290" w:lineRule="auto"/>
      <w:jc w:val="both"/>
    </w:pPr>
    <w:rPr>
      <w:rFonts w:cs="Times New Roman"/>
      <w:kern w:val="20"/>
    </w:rPr>
  </w:style>
  <w:style w:type="paragraph" w:customStyle="1" w:styleId="roman1">
    <w:name w:val="roman 1"/>
    <w:basedOn w:val="Normal"/>
    <w:rsid w:val="008B1D97"/>
    <w:pPr>
      <w:numPr>
        <w:numId w:val="46"/>
      </w:numPr>
      <w:spacing w:after="140" w:line="290" w:lineRule="auto"/>
      <w:jc w:val="both"/>
      <w:outlineLvl w:val="0"/>
    </w:pPr>
    <w:rPr>
      <w:rFonts w:cs="Times New Roman"/>
      <w:kern w:val="20"/>
    </w:rPr>
  </w:style>
  <w:style w:type="paragraph" w:customStyle="1" w:styleId="roman2">
    <w:name w:val="roman 2"/>
    <w:basedOn w:val="Normal"/>
    <w:rsid w:val="008B1D97"/>
    <w:pPr>
      <w:numPr>
        <w:ilvl w:val="1"/>
        <w:numId w:val="46"/>
      </w:numPr>
      <w:spacing w:after="140" w:line="290" w:lineRule="auto"/>
      <w:jc w:val="both"/>
      <w:outlineLvl w:val="1"/>
    </w:pPr>
    <w:rPr>
      <w:rFonts w:cs="Times New Roman"/>
      <w:kern w:val="20"/>
    </w:rPr>
  </w:style>
  <w:style w:type="paragraph" w:customStyle="1" w:styleId="roman3">
    <w:name w:val="roman 3"/>
    <w:basedOn w:val="Normal"/>
    <w:rsid w:val="008B1D97"/>
    <w:pPr>
      <w:numPr>
        <w:ilvl w:val="2"/>
        <w:numId w:val="46"/>
      </w:numPr>
      <w:spacing w:after="140" w:line="290" w:lineRule="auto"/>
      <w:jc w:val="both"/>
      <w:outlineLvl w:val="2"/>
    </w:pPr>
    <w:rPr>
      <w:rFonts w:cs="Times New Roman"/>
      <w:kern w:val="20"/>
    </w:rPr>
  </w:style>
  <w:style w:type="paragraph" w:customStyle="1" w:styleId="roman4">
    <w:name w:val="roman 4"/>
    <w:basedOn w:val="Normal"/>
    <w:rsid w:val="008B1D97"/>
    <w:pPr>
      <w:numPr>
        <w:ilvl w:val="3"/>
        <w:numId w:val="46"/>
      </w:numPr>
      <w:spacing w:after="140" w:line="290" w:lineRule="auto"/>
      <w:jc w:val="both"/>
      <w:outlineLvl w:val="3"/>
    </w:pPr>
    <w:rPr>
      <w:rFonts w:cs="Times New Roman"/>
      <w:kern w:val="20"/>
    </w:rPr>
  </w:style>
  <w:style w:type="paragraph" w:customStyle="1" w:styleId="roman5">
    <w:name w:val="roman 5"/>
    <w:basedOn w:val="Normal"/>
    <w:rsid w:val="008B1D97"/>
    <w:pPr>
      <w:numPr>
        <w:ilvl w:val="4"/>
        <w:numId w:val="46"/>
      </w:numPr>
      <w:spacing w:after="140" w:line="290" w:lineRule="auto"/>
      <w:jc w:val="both"/>
      <w:outlineLvl w:val="4"/>
    </w:pPr>
    <w:rPr>
      <w:rFonts w:cs="Times New Roman"/>
      <w:kern w:val="20"/>
    </w:rPr>
  </w:style>
  <w:style w:type="paragraph" w:customStyle="1" w:styleId="roman6">
    <w:name w:val="roman 6"/>
    <w:basedOn w:val="Normal"/>
    <w:rsid w:val="008B1D97"/>
    <w:pPr>
      <w:numPr>
        <w:ilvl w:val="5"/>
        <w:numId w:val="46"/>
      </w:numPr>
      <w:spacing w:after="140" w:line="290" w:lineRule="auto"/>
      <w:jc w:val="both"/>
      <w:outlineLvl w:val="5"/>
    </w:pPr>
    <w:rPr>
      <w:rFonts w:cs="Times New Roman"/>
      <w:kern w:val="20"/>
    </w:rPr>
  </w:style>
  <w:style w:type="paragraph" w:customStyle="1" w:styleId="SchedApps">
    <w:name w:val="Sched/Apps"/>
    <w:basedOn w:val="Normal"/>
    <w:next w:val="Body"/>
    <w:rsid w:val="00F978CE"/>
    <w:pPr>
      <w:keepNext/>
      <w:pageBreakBefore/>
      <w:spacing w:after="240" w:line="290" w:lineRule="auto"/>
      <w:jc w:val="center"/>
      <w:outlineLvl w:val="3"/>
    </w:pPr>
    <w:rPr>
      <w:rFonts w:cs="Times New Roman"/>
      <w:b/>
      <w:kern w:val="23"/>
      <w:sz w:val="23"/>
    </w:rPr>
  </w:style>
  <w:style w:type="paragraph" w:customStyle="1" w:styleId="Schedule1">
    <w:name w:val="Schedule 1"/>
    <w:basedOn w:val="Normal"/>
    <w:rsid w:val="008B1D97"/>
    <w:pPr>
      <w:numPr>
        <w:numId w:val="47"/>
      </w:numPr>
      <w:spacing w:after="140" w:line="290" w:lineRule="auto"/>
      <w:jc w:val="both"/>
      <w:outlineLvl w:val="0"/>
    </w:pPr>
    <w:rPr>
      <w:rFonts w:cs="Times New Roman"/>
      <w:kern w:val="20"/>
    </w:rPr>
  </w:style>
  <w:style w:type="paragraph" w:customStyle="1" w:styleId="Schedule2">
    <w:name w:val="Schedule 2"/>
    <w:basedOn w:val="Normal"/>
    <w:rsid w:val="008B1D97"/>
    <w:pPr>
      <w:numPr>
        <w:ilvl w:val="1"/>
        <w:numId w:val="47"/>
      </w:numPr>
      <w:spacing w:after="140" w:line="290" w:lineRule="auto"/>
      <w:jc w:val="both"/>
      <w:outlineLvl w:val="0"/>
    </w:pPr>
    <w:rPr>
      <w:rFonts w:cs="Times New Roman"/>
      <w:kern w:val="20"/>
    </w:rPr>
  </w:style>
  <w:style w:type="paragraph" w:customStyle="1" w:styleId="Schedule3">
    <w:name w:val="Schedule 3"/>
    <w:basedOn w:val="Normal"/>
    <w:rsid w:val="008B1D97"/>
    <w:pPr>
      <w:numPr>
        <w:ilvl w:val="2"/>
        <w:numId w:val="47"/>
      </w:numPr>
      <w:spacing w:after="140" w:line="290" w:lineRule="auto"/>
      <w:jc w:val="both"/>
      <w:outlineLvl w:val="1"/>
    </w:pPr>
    <w:rPr>
      <w:rFonts w:cs="Times New Roman"/>
      <w:kern w:val="20"/>
    </w:rPr>
  </w:style>
  <w:style w:type="paragraph" w:customStyle="1" w:styleId="Schedule4">
    <w:name w:val="Schedule 4"/>
    <w:basedOn w:val="Normal"/>
    <w:rsid w:val="008B1D97"/>
    <w:pPr>
      <w:numPr>
        <w:ilvl w:val="3"/>
        <w:numId w:val="47"/>
      </w:numPr>
      <w:spacing w:after="140" w:line="290" w:lineRule="auto"/>
      <w:jc w:val="both"/>
      <w:outlineLvl w:val="2"/>
    </w:pPr>
    <w:rPr>
      <w:rFonts w:cs="Times New Roman"/>
      <w:kern w:val="20"/>
    </w:rPr>
  </w:style>
  <w:style w:type="paragraph" w:customStyle="1" w:styleId="Schedule5">
    <w:name w:val="Schedule 5"/>
    <w:basedOn w:val="Normal"/>
    <w:rsid w:val="008B1D97"/>
    <w:pPr>
      <w:numPr>
        <w:ilvl w:val="4"/>
        <w:numId w:val="47"/>
      </w:numPr>
      <w:spacing w:after="140" w:line="290" w:lineRule="auto"/>
      <w:jc w:val="both"/>
      <w:outlineLvl w:val="3"/>
    </w:pPr>
    <w:rPr>
      <w:rFonts w:cs="Times New Roman"/>
      <w:kern w:val="20"/>
    </w:rPr>
  </w:style>
  <w:style w:type="paragraph" w:customStyle="1" w:styleId="Schedule6">
    <w:name w:val="Schedule 6"/>
    <w:basedOn w:val="Normal"/>
    <w:rsid w:val="008B1D97"/>
    <w:pPr>
      <w:numPr>
        <w:ilvl w:val="5"/>
        <w:numId w:val="47"/>
      </w:numPr>
      <w:spacing w:after="140" w:line="290" w:lineRule="auto"/>
      <w:jc w:val="both"/>
      <w:outlineLvl w:val="5"/>
    </w:pPr>
    <w:rPr>
      <w:rFonts w:cs="Times New Roman"/>
      <w:kern w:val="20"/>
    </w:rPr>
  </w:style>
  <w:style w:type="paragraph" w:customStyle="1" w:styleId="ScheduleHeading">
    <w:name w:val="Schedule Heading"/>
    <w:basedOn w:val="Normal"/>
    <w:next w:val="Body"/>
    <w:rsid w:val="00180F8D"/>
    <w:pPr>
      <w:keepNext/>
      <w:pageBreakBefore/>
      <w:numPr>
        <w:numId w:val="48"/>
      </w:numPr>
      <w:spacing w:after="240" w:line="290" w:lineRule="auto"/>
      <w:jc w:val="center"/>
      <w:outlineLvl w:val="3"/>
    </w:pPr>
    <w:rPr>
      <w:b/>
      <w:kern w:val="23"/>
      <w:sz w:val="23"/>
    </w:rPr>
  </w:style>
  <w:style w:type="paragraph" w:customStyle="1" w:styleId="SubHead">
    <w:name w:val="SubHead"/>
    <w:basedOn w:val="Normal"/>
    <w:next w:val="Body"/>
    <w:rsid w:val="00A170EE"/>
    <w:pPr>
      <w:keepNext/>
      <w:spacing w:before="120" w:after="60" w:line="290" w:lineRule="auto"/>
      <w:jc w:val="both"/>
      <w:outlineLvl w:val="0"/>
    </w:pPr>
    <w:rPr>
      <w:rFonts w:cs="Times New Roman"/>
      <w:b/>
      <w:kern w:val="21"/>
      <w:sz w:val="21"/>
    </w:rPr>
  </w:style>
  <w:style w:type="paragraph" w:customStyle="1" w:styleId="TCLevel1">
    <w:name w:val="T+C Level 1"/>
    <w:basedOn w:val="Normal"/>
    <w:next w:val="TCLevel2"/>
    <w:rsid w:val="008B1D97"/>
    <w:pPr>
      <w:keepNext/>
      <w:numPr>
        <w:numId w:val="49"/>
      </w:numPr>
      <w:spacing w:before="140" w:line="290" w:lineRule="auto"/>
      <w:jc w:val="both"/>
      <w:outlineLvl w:val="0"/>
    </w:pPr>
    <w:rPr>
      <w:rFonts w:cs="Times New Roman"/>
      <w:b/>
      <w:kern w:val="20"/>
    </w:rPr>
  </w:style>
  <w:style w:type="paragraph" w:customStyle="1" w:styleId="TCLevel2">
    <w:name w:val="T+C Level 2"/>
    <w:basedOn w:val="Normal"/>
    <w:rsid w:val="008B1D97"/>
    <w:pPr>
      <w:numPr>
        <w:ilvl w:val="1"/>
        <w:numId w:val="49"/>
      </w:numPr>
      <w:spacing w:after="140" w:line="290" w:lineRule="auto"/>
      <w:jc w:val="both"/>
      <w:outlineLvl w:val="1"/>
    </w:pPr>
    <w:rPr>
      <w:rFonts w:cs="Times New Roman"/>
      <w:kern w:val="20"/>
    </w:rPr>
  </w:style>
  <w:style w:type="paragraph" w:customStyle="1" w:styleId="TCLevel3">
    <w:name w:val="T+C Level 3"/>
    <w:basedOn w:val="Normal"/>
    <w:rsid w:val="008B1D97"/>
    <w:pPr>
      <w:numPr>
        <w:ilvl w:val="2"/>
        <w:numId w:val="49"/>
      </w:numPr>
      <w:spacing w:after="140" w:line="290" w:lineRule="auto"/>
      <w:jc w:val="both"/>
      <w:outlineLvl w:val="2"/>
    </w:pPr>
    <w:rPr>
      <w:rFonts w:cs="Times New Roman"/>
      <w:kern w:val="20"/>
    </w:rPr>
  </w:style>
  <w:style w:type="paragraph" w:customStyle="1" w:styleId="TCLevel4">
    <w:name w:val="T+C Level 4"/>
    <w:basedOn w:val="Normal"/>
    <w:rsid w:val="008B1D97"/>
    <w:pPr>
      <w:numPr>
        <w:ilvl w:val="3"/>
        <w:numId w:val="49"/>
      </w:numPr>
      <w:spacing w:after="140" w:line="290" w:lineRule="auto"/>
      <w:jc w:val="both"/>
      <w:outlineLvl w:val="3"/>
    </w:pPr>
    <w:rPr>
      <w:rFonts w:cs="Times New Roman"/>
      <w:kern w:val="20"/>
    </w:rPr>
  </w:style>
  <w:style w:type="paragraph" w:customStyle="1" w:styleId="Table1">
    <w:name w:val="Table 1"/>
    <w:basedOn w:val="Normal"/>
    <w:rsid w:val="008B1D97"/>
    <w:pPr>
      <w:numPr>
        <w:numId w:val="50"/>
      </w:numPr>
      <w:spacing w:before="60" w:after="60" w:line="290" w:lineRule="auto"/>
      <w:outlineLvl w:val="0"/>
    </w:pPr>
    <w:rPr>
      <w:rFonts w:cs="Times New Roman"/>
      <w:kern w:val="20"/>
    </w:rPr>
  </w:style>
  <w:style w:type="paragraph" w:customStyle="1" w:styleId="Table2">
    <w:name w:val="Table 2"/>
    <w:basedOn w:val="Normal"/>
    <w:rsid w:val="008B1D97"/>
    <w:pPr>
      <w:numPr>
        <w:ilvl w:val="1"/>
        <w:numId w:val="50"/>
      </w:numPr>
      <w:spacing w:before="60" w:after="60" w:line="290" w:lineRule="auto"/>
      <w:outlineLvl w:val="0"/>
    </w:pPr>
    <w:rPr>
      <w:rFonts w:cs="Times New Roman"/>
      <w:kern w:val="20"/>
    </w:rPr>
  </w:style>
  <w:style w:type="paragraph" w:customStyle="1" w:styleId="Table3">
    <w:name w:val="Table 3"/>
    <w:basedOn w:val="Normal"/>
    <w:rsid w:val="008B1D97"/>
    <w:pPr>
      <w:numPr>
        <w:ilvl w:val="2"/>
        <w:numId w:val="50"/>
      </w:numPr>
      <w:spacing w:before="60" w:after="60" w:line="290" w:lineRule="auto"/>
      <w:outlineLvl w:val="0"/>
    </w:pPr>
    <w:rPr>
      <w:rFonts w:cs="Times New Roman"/>
      <w:kern w:val="20"/>
    </w:rPr>
  </w:style>
  <w:style w:type="paragraph" w:customStyle="1" w:styleId="Table4">
    <w:name w:val="Table 4"/>
    <w:basedOn w:val="Normal"/>
    <w:rsid w:val="008B1D97"/>
    <w:pPr>
      <w:numPr>
        <w:ilvl w:val="3"/>
        <w:numId w:val="50"/>
      </w:numPr>
      <w:spacing w:before="60" w:after="60" w:line="290" w:lineRule="auto"/>
      <w:outlineLvl w:val="0"/>
    </w:pPr>
    <w:rPr>
      <w:rFonts w:cs="Times New Roman"/>
      <w:kern w:val="20"/>
    </w:rPr>
  </w:style>
  <w:style w:type="paragraph" w:customStyle="1" w:styleId="Table5">
    <w:name w:val="Table 5"/>
    <w:basedOn w:val="Normal"/>
    <w:rsid w:val="008B1D97"/>
    <w:pPr>
      <w:numPr>
        <w:ilvl w:val="4"/>
        <w:numId w:val="50"/>
      </w:numPr>
      <w:spacing w:before="60" w:after="60" w:line="290" w:lineRule="auto"/>
      <w:outlineLvl w:val="0"/>
    </w:pPr>
    <w:rPr>
      <w:rFonts w:cs="Times New Roman"/>
      <w:kern w:val="20"/>
    </w:rPr>
  </w:style>
  <w:style w:type="paragraph" w:customStyle="1" w:styleId="Table6">
    <w:name w:val="Table 6"/>
    <w:basedOn w:val="Normal"/>
    <w:rsid w:val="008B1D97"/>
    <w:pPr>
      <w:numPr>
        <w:ilvl w:val="5"/>
        <w:numId w:val="50"/>
      </w:numPr>
      <w:spacing w:before="60" w:after="60" w:line="290" w:lineRule="auto"/>
      <w:outlineLvl w:val="0"/>
    </w:pPr>
    <w:rPr>
      <w:rFonts w:cs="Times New Roman"/>
      <w:kern w:val="20"/>
    </w:rPr>
  </w:style>
  <w:style w:type="paragraph" w:customStyle="1" w:styleId="Tablealpha">
    <w:name w:val="Table alpha"/>
    <w:basedOn w:val="CellBody"/>
    <w:rsid w:val="008B1D97"/>
    <w:pPr>
      <w:numPr>
        <w:numId w:val="51"/>
      </w:numPr>
    </w:pPr>
  </w:style>
  <w:style w:type="paragraph" w:customStyle="1" w:styleId="Tablebullet">
    <w:name w:val="Table bullet"/>
    <w:basedOn w:val="Normal"/>
    <w:rsid w:val="00A170EE"/>
    <w:pPr>
      <w:numPr>
        <w:numId w:val="21"/>
      </w:numPr>
      <w:spacing w:before="60" w:after="60" w:line="290" w:lineRule="auto"/>
    </w:pPr>
    <w:rPr>
      <w:rFonts w:cs="Times New Roman"/>
      <w:kern w:val="20"/>
    </w:rPr>
  </w:style>
  <w:style w:type="paragraph" w:customStyle="1" w:styleId="Tableroman">
    <w:name w:val="Table roman"/>
    <w:basedOn w:val="CellBody"/>
    <w:rsid w:val="008B1D97"/>
    <w:pPr>
      <w:numPr>
        <w:numId w:val="52"/>
      </w:numPr>
    </w:pPr>
  </w:style>
  <w:style w:type="paragraph" w:styleId="TOAHeading">
    <w:name w:val="toa heading"/>
    <w:basedOn w:val="Normal"/>
    <w:next w:val="Normal"/>
    <w:uiPriority w:val="99"/>
    <w:unhideWhenUsed/>
    <w:rsid w:val="00C543FE"/>
    <w:pPr>
      <w:spacing w:before="120"/>
    </w:pPr>
    <w:rPr>
      <w:rFonts w:asciiTheme="majorHAnsi" w:eastAsiaTheme="majorEastAsia" w:hAnsiTheme="majorHAnsi" w:cstheme="majorBidi"/>
      <w:b/>
      <w:bCs/>
      <w:sz w:val="24"/>
      <w:szCs w:val="24"/>
    </w:rPr>
  </w:style>
  <w:style w:type="paragraph" w:styleId="Title">
    <w:name w:val="Title"/>
    <w:basedOn w:val="Normal"/>
    <w:next w:val="Body"/>
    <w:unhideWhenUsed/>
    <w:rsid w:val="00F978CE"/>
    <w:pPr>
      <w:keepNext/>
      <w:spacing w:after="240" w:line="290" w:lineRule="auto"/>
      <w:jc w:val="both"/>
      <w:outlineLvl w:val="0"/>
    </w:pPr>
    <w:rPr>
      <w:rFonts w:eastAsiaTheme="majorEastAsia" w:cs="Arial"/>
      <w:b/>
      <w:kern w:val="25"/>
      <w:sz w:val="25"/>
      <w:szCs w:val="56"/>
    </w:rPr>
  </w:style>
  <w:style w:type="paragraph" w:styleId="TOC1">
    <w:name w:val="toc 1"/>
    <w:basedOn w:val="Normal"/>
    <w:next w:val="Body"/>
    <w:unhideWhenUsed/>
    <w:rsid w:val="009C500A"/>
    <w:pPr>
      <w:spacing w:before="280" w:after="140" w:line="290" w:lineRule="auto"/>
    </w:pPr>
    <w:rPr>
      <w:rFonts w:eastAsia="Times New Roman" w:cs="Times New Roman"/>
      <w:kern w:val="20"/>
      <w:szCs w:val="24"/>
      <w:lang w:eastAsia="en-GB"/>
    </w:rPr>
  </w:style>
  <w:style w:type="paragraph" w:styleId="TOC2">
    <w:name w:val="toc 2"/>
    <w:basedOn w:val="Normal"/>
    <w:next w:val="Body"/>
    <w:unhideWhenUsed/>
    <w:rsid w:val="009C500A"/>
    <w:pPr>
      <w:spacing w:before="280" w:after="140" w:line="290" w:lineRule="auto"/>
    </w:pPr>
    <w:rPr>
      <w:rFonts w:eastAsia="Times New Roman" w:cs="Times New Roman"/>
      <w:kern w:val="20"/>
      <w:szCs w:val="24"/>
      <w:lang w:eastAsia="en-GB"/>
    </w:rPr>
  </w:style>
  <w:style w:type="paragraph" w:styleId="TOC3">
    <w:name w:val="toc 3"/>
    <w:basedOn w:val="Normal"/>
    <w:next w:val="Body"/>
    <w:unhideWhenUsed/>
    <w:rsid w:val="009C500A"/>
    <w:pPr>
      <w:spacing w:before="280" w:after="140" w:line="290" w:lineRule="auto"/>
      <w:ind w:left="680"/>
    </w:pPr>
    <w:rPr>
      <w:rFonts w:eastAsia="Times New Roman" w:cs="Times New Roman"/>
      <w:kern w:val="20"/>
      <w:szCs w:val="24"/>
      <w:lang w:eastAsia="en-GB"/>
    </w:rPr>
  </w:style>
  <w:style w:type="paragraph" w:styleId="TOC4">
    <w:name w:val="toc 4"/>
    <w:basedOn w:val="Normal"/>
    <w:next w:val="Body"/>
    <w:unhideWhenUsed/>
    <w:rsid w:val="009C500A"/>
    <w:pPr>
      <w:spacing w:before="280" w:after="140" w:line="290" w:lineRule="auto"/>
      <w:ind w:left="680"/>
    </w:pPr>
    <w:rPr>
      <w:rFonts w:eastAsia="Times New Roman" w:cs="Times New Roman"/>
      <w:kern w:val="20"/>
      <w:szCs w:val="24"/>
      <w:lang w:eastAsia="en-GB"/>
    </w:rPr>
  </w:style>
  <w:style w:type="paragraph" w:styleId="TOC5">
    <w:name w:val="toc 5"/>
    <w:basedOn w:val="Normal"/>
    <w:next w:val="Body"/>
    <w:unhideWhenUsed/>
    <w:rsid w:val="009C500A"/>
    <w:rPr>
      <w:rFonts w:eastAsia="Times New Roman" w:cs="Times New Roman"/>
      <w:szCs w:val="24"/>
      <w:lang w:eastAsia="en-GB"/>
    </w:rPr>
  </w:style>
  <w:style w:type="paragraph" w:styleId="TOC6">
    <w:name w:val="toc 6"/>
    <w:basedOn w:val="Normal"/>
    <w:next w:val="Body"/>
    <w:unhideWhenUsed/>
    <w:rsid w:val="009C500A"/>
    <w:rPr>
      <w:rFonts w:eastAsia="Times New Roman" w:cs="Times New Roman"/>
      <w:szCs w:val="24"/>
      <w:lang w:eastAsia="en-GB"/>
    </w:rPr>
  </w:style>
  <w:style w:type="paragraph" w:styleId="TOC7">
    <w:name w:val="toc 7"/>
    <w:basedOn w:val="Normal"/>
    <w:next w:val="Body"/>
    <w:unhideWhenUsed/>
    <w:rsid w:val="009C500A"/>
    <w:rPr>
      <w:rFonts w:eastAsia="Times New Roman" w:cs="Times New Roman"/>
      <w:szCs w:val="24"/>
      <w:lang w:eastAsia="en-GB"/>
    </w:rPr>
  </w:style>
  <w:style w:type="paragraph" w:styleId="TOC8">
    <w:name w:val="toc 8"/>
    <w:basedOn w:val="Normal"/>
    <w:next w:val="Body"/>
    <w:unhideWhenUsed/>
    <w:rsid w:val="009C500A"/>
    <w:rPr>
      <w:rFonts w:eastAsia="Times New Roman" w:cs="Times New Roman"/>
      <w:szCs w:val="24"/>
      <w:lang w:eastAsia="en-GB"/>
    </w:rPr>
  </w:style>
  <w:style w:type="paragraph" w:styleId="TOC9">
    <w:name w:val="toc 9"/>
    <w:basedOn w:val="Normal"/>
    <w:next w:val="Body"/>
    <w:unhideWhenUsed/>
    <w:rsid w:val="009C500A"/>
    <w:rPr>
      <w:rFonts w:eastAsia="Times New Roman" w:cs="Times New Roman"/>
      <w:szCs w:val="24"/>
      <w:lang w:eastAsia="en-GB"/>
    </w:rPr>
  </w:style>
  <w:style w:type="paragraph" w:customStyle="1" w:styleId="UCAlpha1">
    <w:name w:val="UCAlpha 1"/>
    <w:basedOn w:val="Normal"/>
    <w:rsid w:val="00A34CE2"/>
    <w:pPr>
      <w:numPr>
        <w:numId w:val="53"/>
      </w:numPr>
      <w:spacing w:after="140" w:line="290" w:lineRule="auto"/>
      <w:jc w:val="both"/>
      <w:outlineLvl w:val="0"/>
    </w:pPr>
    <w:rPr>
      <w:rFonts w:cs="Times New Roman"/>
      <w:kern w:val="20"/>
    </w:rPr>
  </w:style>
  <w:style w:type="paragraph" w:customStyle="1" w:styleId="UCAlpha2">
    <w:name w:val="UCAlpha 2"/>
    <w:basedOn w:val="Normal"/>
    <w:rsid w:val="00A34CE2"/>
    <w:pPr>
      <w:numPr>
        <w:ilvl w:val="1"/>
        <w:numId w:val="53"/>
      </w:numPr>
      <w:spacing w:after="140" w:line="290" w:lineRule="auto"/>
      <w:jc w:val="both"/>
      <w:outlineLvl w:val="1"/>
    </w:pPr>
    <w:rPr>
      <w:rFonts w:cs="Times New Roman"/>
      <w:kern w:val="20"/>
    </w:rPr>
  </w:style>
  <w:style w:type="paragraph" w:customStyle="1" w:styleId="UCAlpha3">
    <w:name w:val="UCAlpha 3"/>
    <w:basedOn w:val="Normal"/>
    <w:rsid w:val="00A34CE2"/>
    <w:pPr>
      <w:numPr>
        <w:ilvl w:val="2"/>
        <w:numId w:val="53"/>
      </w:numPr>
      <w:spacing w:after="140" w:line="290" w:lineRule="auto"/>
      <w:jc w:val="both"/>
      <w:outlineLvl w:val="2"/>
    </w:pPr>
    <w:rPr>
      <w:rFonts w:cs="Times New Roman"/>
      <w:kern w:val="20"/>
    </w:rPr>
  </w:style>
  <w:style w:type="paragraph" w:customStyle="1" w:styleId="UCAlpha4">
    <w:name w:val="UCAlpha 4"/>
    <w:basedOn w:val="Normal"/>
    <w:rsid w:val="00A34CE2"/>
    <w:pPr>
      <w:numPr>
        <w:ilvl w:val="3"/>
        <w:numId w:val="53"/>
      </w:numPr>
      <w:spacing w:after="140" w:line="290" w:lineRule="auto"/>
      <w:jc w:val="both"/>
      <w:outlineLvl w:val="3"/>
    </w:pPr>
    <w:rPr>
      <w:rFonts w:cs="Times New Roman"/>
      <w:kern w:val="20"/>
    </w:rPr>
  </w:style>
  <w:style w:type="paragraph" w:customStyle="1" w:styleId="UCAlpha5">
    <w:name w:val="UCAlpha 5"/>
    <w:basedOn w:val="Normal"/>
    <w:rsid w:val="00A34CE2"/>
    <w:pPr>
      <w:numPr>
        <w:ilvl w:val="4"/>
        <w:numId w:val="53"/>
      </w:numPr>
      <w:spacing w:after="140" w:line="290" w:lineRule="auto"/>
      <w:jc w:val="both"/>
      <w:outlineLvl w:val="4"/>
    </w:pPr>
    <w:rPr>
      <w:rFonts w:cs="Times New Roman"/>
      <w:kern w:val="20"/>
    </w:rPr>
  </w:style>
  <w:style w:type="paragraph" w:customStyle="1" w:styleId="UCAlpha6">
    <w:name w:val="UCAlpha 6"/>
    <w:basedOn w:val="Normal"/>
    <w:rsid w:val="00A34CE2"/>
    <w:pPr>
      <w:numPr>
        <w:ilvl w:val="5"/>
        <w:numId w:val="53"/>
      </w:numPr>
      <w:spacing w:after="140" w:line="290" w:lineRule="auto"/>
      <w:jc w:val="both"/>
      <w:outlineLvl w:val="5"/>
    </w:pPr>
    <w:rPr>
      <w:rFonts w:cs="Times New Roman"/>
      <w:kern w:val="20"/>
    </w:rPr>
  </w:style>
  <w:style w:type="paragraph" w:customStyle="1" w:styleId="UCRoman1">
    <w:name w:val="UCRoman 1"/>
    <w:basedOn w:val="Normal"/>
    <w:rsid w:val="00A34CE2"/>
    <w:pPr>
      <w:numPr>
        <w:numId w:val="54"/>
      </w:numPr>
      <w:spacing w:after="140" w:line="290" w:lineRule="auto"/>
      <w:jc w:val="both"/>
      <w:outlineLvl w:val="0"/>
    </w:pPr>
    <w:rPr>
      <w:rFonts w:cs="Times New Roman"/>
      <w:kern w:val="20"/>
    </w:rPr>
  </w:style>
  <w:style w:type="paragraph" w:customStyle="1" w:styleId="UCRoman2">
    <w:name w:val="UCRoman 2"/>
    <w:basedOn w:val="Normal"/>
    <w:rsid w:val="00A34CE2"/>
    <w:pPr>
      <w:numPr>
        <w:ilvl w:val="1"/>
        <w:numId w:val="54"/>
      </w:numPr>
      <w:spacing w:after="140" w:line="290" w:lineRule="auto"/>
      <w:jc w:val="both"/>
      <w:outlineLvl w:val="1"/>
    </w:pPr>
    <w:rPr>
      <w:rFonts w:cs="Times New Roman"/>
      <w:kern w:val="20"/>
    </w:rPr>
  </w:style>
  <w:style w:type="paragraph" w:customStyle="1" w:styleId="UCRoman3">
    <w:name w:val="UCRoman 3"/>
    <w:basedOn w:val="Normal"/>
    <w:rsid w:val="00A34CE2"/>
    <w:pPr>
      <w:numPr>
        <w:ilvl w:val="2"/>
        <w:numId w:val="54"/>
      </w:numPr>
      <w:spacing w:after="140" w:line="290" w:lineRule="auto"/>
      <w:jc w:val="both"/>
      <w:outlineLvl w:val="2"/>
    </w:pPr>
    <w:rPr>
      <w:rFonts w:cs="Times New Roman"/>
      <w:kern w:val="20"/>
    </w:rPr>
  </w:style>
  <w:style w:type="paragraph" w:customStyle="1" w:styleId="UCRoman4">
    <w:name w:val="UCRoman 4"/>
    <w:basedOn w:val="Normal"/>
    <w:rsid w:val="00A34CE2"/>
    <w:pPr>
      <w:numPr>
        <w:ilvl w:val="3"/>
        <w:numId w:val="54"/>
      </w:numPr>
      <w:spacing w:after="140" w:line="290" w:lineRule="auto"/>
      <w:jc w:val="both"/>
      <w:outlineLvl w:val="3"/>
    </w:pPr>
    <w:rPr>
      <w:rFonts w:cs="Times New Roman"/>
    </w:rPr>
  </w:style>
  <w:style w:type="paragraph" w:customStyle="1" w:styleId="UCRoman5">
    <w:name w:val="UCRoman 5"/>
    <w:basedOn w:val="Normal"/>
    <w:rsid w:val="00A34CE2"/>
    <w:pPr>
      <w:numPr>
        <w:ilvl w:val="4"/>
        <w:numId w:val="54"/>
      </w:numPr>
      <w:spacing w:after="140" w:line="290" w:lineRule="auto"/>
      <w:jc w:val="both"/>
      <w:outlineLvl w:val="4"/>
    </w:pPr>
    <w:rPr>
      <w:rFonts w:cs="Times New Roman"/>
      <w:kern w:val="20"/>
    </w:rPr>
  </w:style>
  <w:style w:type="paragraph" w:customStyle="1" w:styleId="UCRoman6">
    <w:name w:val="UCRoman 6"/>
    <w:basedOn w:val="Normal"/>
    <w:rsid w:val="00A34CE2"/>
    <w:pPr>
      <w:numPr>
        <w:ilvl w:val="5"/>
        <w:numId w:val="54"/>
      </w:numPr>
      <w:spacing w:after="140" w:line="290" w:lineRule="auto"/>
      <w:jc w:val="both"/>
      <w:outlineLvl w:val="5"/>
    </w:pPr>
    <w:rPr>
      <w:rFonts w:cs="Times New Roman"/>
      <w:kern w:val="20"/>
    </w:rPr>
  </w:style>
  <w:style w:type="paragraph" w:styleId="FootnoteText">
    <w:name w:val="footnote text"/>
    <w:basedOn w:val="Normal"/>
    <w:link w:val="FootnoteTextChar"/>
    <w:unhideWhenUsed/>
    <w:rsid w:val="00606BD0"/>
    <w:pPr>
      <w:spacing w:after="60" w:line="200" w:lineRule="atLeast"/>
      <w:ind w:left="227" w:hanging="227"/>
      <w:jc w:val="both"/>
    </w:pPr>
    <w:rPr>
      <w:sz w:val="16"/>
      <w:szCs w:val="20"/>
    </w:rPr>
  </w:style>
  <w:style w:type="paragraph" w:customStyle="1" w:styleId="zFSAmount">
    <w:name w:val="zFSAmount"/>
    <w:basedOn w:val="Normal"/>
    <w:semiHidden/>
    <w:unhideWhenUsed/>
    <w:rsid w:val="002D0F1F"/>
    <w:pPr>
      <w:spacing w:before="800" w:line="290" w:lineRule="auto"/>
      <w:jc w:val="center"/>
    </w:pPr>
    <w:rPr>
      <w:rFonts w:cs="Times New Roman"/>
      <w:i/>
    </w:rPr>
  </w:style>
  <w:style w:type="paragraph" w:customStyle="1" w:styleId="zFSDescription">
    <w:name w:val="zFSDescription"/>
    <w:basedOn w:val="Normal"/>
    <w:semiHidden/>
    <w:unhideWhenUsed/>
    <w:rsid w:val="002D0F1F"/>
    <w:pPr>
      <w:spacing w:line="290" w:lineRule="auto"/>
      <w:jc w:val="center"/>
    </w:pPr>
    <w:rPr>
      <w:rFonts w:cs="Times New Roman"/>
      <w:i/>
      <w:caps/>
    </w:rPr>
  </w:style>
  <w:style w:type="paragraph" w:customStyle="1" w:styleId="zFSFooter">
    <w:name w:val="zFSFooter"/>
    <w:basedOn w:val="Normal"/>
    <w:semiHidden/>
    <w:unhideWhenUsed/>
    <w:rsid w:val="002D0F1F"/>
    <w:pPr>
      <w:tabs>
        <w:tab w:val="left" w:pos="6521"/>
      </w:tabs>
      <w:spacing w:after="40"/>
    </w:pPr>
    <w:rPr>
      <w:rFonts w:cs="Times New Roman"/>
      <w:sz w:val="16"/>
    </w:rPr>
  </w:style>
  <w:style w:type="paragraph" w:customStyle="1" w:styleId="zFSNameofDoc">
    <w:name w:val="zFSNameofDoc"/>
    <w:basedOn w:val="Body"/>
    <w:semiHidden/>
    <w:unhideWhenUsed/>
    <w:rsid w:val="002D0F1F"/>
    <w:pPr>
      <w:spacing w:before="300" w:after="400"/>
      <w:jc w:val="center"/>
    </w:pPr>
    <w:rPr>
      <w:caps/>
    </w:rPr>
  </w:style>
  <w:style w:type="numbering" w:customStyle="1" w:styleId="LLalpha">
    <w:name w:val="LL_alpha"/>
    <w:uiPriority w:val="99"/>
    <w:rsid w:val="00D23A38"/>
    <w:pPr>
      <w:numPr>
        <w:numId w:val="1"/>
      </w:numPr>
    </w:pPr>
  </w:style>
  <w:style w:type="numbering" w:customStyle="1" w:styleId="LLbullet">
    <w:name w:val="LL_bullet"/>
    <w:uiPriority w:val="99"/>
    <w:rsid w:val="00D23A38"/>
    <w:pPr>
      <w:numPr>
        <w:numId w:val="2"/>
      </w:numPr>
    </w:pPr>
  </w:style>
  <w:style w:type="numbering" w:customStyle="1" w:styleId="LLdashbullet">
    <w:name w:val="LL_dash bullet"/>
    <w:uiPriority w:val="99"/>
    <w:rsid w:val="00D23A38"/>
    <w:pPr>
      <w:numPr>
        <w:numId w:val="3"/>
      </w:numPr>
    </w:pPr>
  </w:style>
  <w:style w:type="numbering" w:customStyle="1" w:styleId="LLdoublealpha">
    <w:name w:val="LL_double alpha"/>
    <w:uiPriority w:val="99"/>
    <w:rsid w:val="00D23A38"/>
    <w:pPr>
      <w:numPr>
        <w:numId w:val="4"/>
      </w:numPr>
    </w:pPr>
  </w:style>
  <w:style w:type="numbering" w:customStyle="1" w:styleId="LLengage">
    <w:name w:val="LL_engage"/>
    <w:uiPriority w:val="99"/>
    <w:rsid w:val="00D23A38"/>
    <w:pPr>
      <w:numPr>
        <w:numId w:val="5"/>
      </w:numPr>
    </w:pPr>
  </w:style>
  <w:style w:type="numbering" w:customStyle="1" w:styleId="LLLevel">
    <w:name w:val="LL_Level"/>
    <w:uiPriority w:val="99"/>
    <w:rsid w:val="00514E78"/>
    <w:pPr>
      <w:numPr>
        <w:numId w:val="6"/>
      </w:numPr>
    </w:pPr>
  </w:style>
  <w:style w:type="numbering" w:customStyle="1" w:styleId="LLListNumbers">
    <w:name w:val="LL_List Numbers"/>
    <w:uiPriority w:val="99"/>
    <w:rsid w:val="008B1D97"/>
    <w:pPr>
      <w:numPr>
        <w:numId w:val="7"/>
      </w:numPr>
    </w:pPr>
  </w:style>
  <w:style w:type="numbering" w:customStyle="1" w:styleId="LLParties">
    <w:name w:val="LL_Parties"/>
    <w:uiPriority w:val="99"/>
    <w:rsid w:val="008B1D97"/>
    <w:pPr>
      <w:numPr>
        <w:numId w:val="8"/>
      </w:numPr>
    </w:pPr>
  </w:style>
  <w:style w:type="numbering" w:customStyle="1" w:styleId="LLRecitals">
    <w:name w:val="LL_Recitals"/>
    <w:uiPriority w:val="99"/>
    <w:rsid w:val="008B1D97"/>
    <w:pPr>
      <w:numPr>
        <w:numId w:val="9"/>
      </w:numPr>
    </w:pPr>
  </w:style>
  <w:style w:type="numbering" w:customStyle="1" w:styleId="LLroman">
    <w:name w:val="LL_roman"/>
    <w:uiPriority w:val="99"/>
    <w:rsid w:val="008B1D97"/>
    <w:pPr>
      <w:numPr>
        <w:numId w:val="10"/>
      </w:numPr>
    </w:pPr>
  </w:style>
  <w:style w:type="numbering" w:customStyle="1" w:styleId="LLSchedule">
    <w:name w:val="LL_Schedule"/>
    <w:uiPriority w:val="99"/>
    <w:rsid w:val="008B1D97"/>
    <w:pPr>
      <w:numPr>
        <w:numId w:val="11"/>
      </w:numPr>
    </w:pPr>
  </w:style>
  <w:style w:type="numbering" w:customStyle="1" w:styleId="LLTC">
    <w:name w:val="LL_T+C"/>
    <w:uiPriority w:val="99"/>
    <w:rsid w:val="008B1D97"/>
    <w:pPr>
      <w:numPr>
        <w:numId w:val="12"/>
      </w:numPr>
    </w:pPr>
  </w:style>
  <w:style w:type="numbering" w:customStyle="1" w:styleId="LLTable">
    <w:name w:val="LL_Table"/>
    <w:uiPriority w:val="99"/>
    <w:rsid w:val="008B1D97"/>
    <w:pPr>
      <w:numPr>
        <w:numId w:val="13"/>
      </w:numPr>
    </w:pPr>
  </w:style>
  <w:style w:type="numbering" w:customStyle="1" w:styleId="LLTablealpha">
    <w:name w:val="LL_Table alpha"/>
    <w:uiPriority w:val="99"/>
    <w:rsid w:val="008B1D97"/>
    <w:pPr>
      <w:numPr>
        <w:numId w:val="14"/>
      </w:numPr>
    </w:pPr>
  </w:style>
  <w:style w:type="numbering" w:customStyle="1" w:styleId="LLTablebullet">
    <w:name w:val="LL_Table bullet"/>
    <w:uiPriority w:val="99"/>
    <w:rsid w:val="00A170EE"/>
    <w:pPr>
      <w:numPr>
        <w:numId w:val="15"/>
      </w:numPr>
    </w:pPr>
  </w:style>
  <w:style w:type="numbering" w:customStyle="1" w:styleId="LLTableroman">
    <w:name w:val="LL_Table roman"/>
    <w:uiPriority w:val="99"/>
    <w:rsid w:val="008B1D97"/>
    <w:pPr>
      <w:numPr>
        <w:numId w:val="16"/>
      </w:numPr>
    </w:pPr>
  </w:style>
  <w:style w:type="numbering" w:customStyle="1" w:styleId="LLTOC">
    <w:name w:val="LL_TOC"/>
    <w:uiPriority w:val="99"/>
    <w:rsid w:val="006A7AEA"/>
    <w:pPr>
      <w:numPr>
        <w:numId w:val="17"/>
      </w:numPr>
    </w:pPr>
  </w:style>
  <w:style w:type="numbering" w:customStyle="1" w:styleId="LLUCAlpha">
    <w:name w:val="LL_UCAlpha"/>
    <w:uiPriority w:val="99"/>
    <w:rsid w:val="00A34CE2"/>
    <w:pPr>
      <w:numPr>
        <w:numId w:val="18"/>
      </w:numPr>
    </w:pPr>
  </w:style>
  <w:style w:type="numbering" w:customStyle="1" w:styleId="LLUCRoman">
    <w:name w:val="LL_UCRoman"/>
    <w:uiPriority w:val="99"/>
    <w:rsid w:val="00A34CE2"/>
    <w:pPr>
      <w:numPr>
        <w:numId w:val="19"/>
      </w:numPr>
    </w:pPr>
  </w:style>
  <w:style w:type="character" w:customStyle="1" w:styleId="zTokyoLogoCaption">
    <w:name w:val="zTokyoLogoCaption"/>
    <w:semiHidden/>
    <w:unhideWhenUsed/>
    <w:rsid w:val="00DB5A0B"/>
    <w:rPr>
      <w:rFonts w:ascii="MS Mincho" w:hAnsi="Arial" w:cs="Times New Roman"/>
      <w:sz w:val="13"/>
    </w:rPr>
  </w:style>
  <w:style w:type="character" w:customStyle="1" w:styleId="zTokyoLogoCaption2">
    <w:name w:val="zTokyoLogoCaption2"/>
    <w:semiHidden/>
    <w:unhideWhenUsed/>
    <w:rsid w:val="00DB5A0B"/>
    <w:rPr>
      <w:rFonts w:ascii="MS Mincho" w:hAnsi="Arial" w:cs="Times New Roman"/>
      <w:sz w:val="16"/>
    </w:rPr>
  </w:style>
  <w:style w:type="numbering" w:styleId="111111">
    <w:name w:val="Outline List 2"/>
    <w:basedOn w:val="NoList"/>
    <w:uiPriority w:val="99"/>
    <w:semiHidden/>
    <w:unhideWhenUsed/>
    <w:rsid w:val="00F978CE"/>
    <w:pPr>
      <w:numPr>
        <w:numId w:val="32"/>
      </w:numPr>
    </w:pPr>
  </w:style>
  <w:style w:type="numbering" w:styleId="1ai">
    <w:name w:val="Outline List 1"/>
    <w:basedOn w:val="NoList"/>
    <w:uiPriority w:val="99"/>
    <w:semiHidden/>
    <w:unhideWhenUsed/>
    <w:rsid w:val="00F978CE"/>
    <w:pPr>
      <w:numPr>
        <w:numId w:val="33"/>
      </w:numPr>
    </w:pPr>
  </w:style>
  <w:style w:type="numbering" w:styleId="ArticleSection">
    <w:name w:val="Outline List 3"/>
    <w:basedOn w:val="NoList"/>
    <w:uiPriority w:val="99"/>
    <w:semiHidden/>
    <w:unhideWhenUsed/>
    <w:rsid w:val="00F978CE"/>
    <w:pPr>
      <w:numPr>
        <w:numId w:val="34"/>
      </w:numPr>
    </w:pPr>
  </w:style>
  <w:style w:type="paragraph" w:styleId="BalloonText">
    <w:name w:val="Balloon Text"/>
    <w:basedOn w:val="Normal"/>
    <w:uiPriority w:val="99"/>
    <w:unhideWhenUsed/>
    <w:rsid w:val="00F978CE"/>
    <w:rPr>
      <w:rFonts w:ascii="Segoe UI" w:hAnsi="Segoe UI" w:cs="Segoe UI"/>
      <w:sz w:val="18"/>
      <w:szCs w:val="18"/>
    </w:rPr>
  </w:style>
  <w:style w:type="paragraph" w:styleId="Bibliography">
    <w:name w:val="Bibliography"/>
    <w:basedOn w:val="Normal"/>
    <w:next w:val="Normal"/>
    <w:uiPriority w:val="37"/>
    <w:unhideWhenUsed/>
    <w:rsid w:val="00F978CE"/>
  </w:style>
  <w:style w:type="paragraph" w:styleId="BlockText">
    <w:name w:val="Block Text"/>
    <w:basedOn w:val="Normal"/>
    <w:uiPriority w:val="99"/>
    <w:unhideWhenUsed/>
    <w:rsid w:val="00F978CE"/>
    <w:pPr>
      <w:pBdr>
        <w:top w:val="single" w:sz="2" w:space="10" w:color="AF005F" w:themeColor="accent1"/>
        <w:left w:val="single" w:sz="2" w:space="10" w:color="AF005F" w:themeColor="accent1"/>
        <w:bottom w:val="single" w:sz="2" w:space="10" w:color="AF005F" w:themeColor="accent1"/>
        <w:right w:val="single" w:sz="2" w:space="10" w:color="AF005F" w:themeColor="accent1"/>
      </w:pBdr>
      <w:ind w:left="1152" w:right="1152"/>
    </w:pPr>
    <w:rPr>
      <w:rFonts w:asciiTheme="minorHAnsi" w:eastAsiaTheme="minorEastAsia" w:hAnsiTheme="minorHAnsi"/>
      <w:i/>
      <w:iCs/>
      <w:color w:val="AF005F" w:themeColor="accent1"/>
    </w:rPr>
  </w:style>
  <w:style w:type="paragraph" w:styleId="BodyText">
    <w:name w:val="Body Text"/>
    <w:basedOn w:val="Normal"/>
    <w:uiPriority w:val="99"/>
    <w:unhideWhenUsed/>
    <w:rsid w:val="00F978CE"/>
    <w:pPr>
      <w:spacing w:after="120"/>
    </w:pPr>
  </w:style>
  <w:style w:type="paragraph" w:styleId="BodyText2">
    <w:name w:val="Body Text 2"/>
    <w:basedOn w:val="Normal"/>
    <w:uiPriority w:val="99"/>
    <w:unhideWhenUsed/>
    <w:rsid w:val="00F978CE"/>
    <w:pPr>
      <w:spacing w:after="120" w:line="480" w:lineRule="auto"/>
    </w:pPr>
  </w:style>
  <w:style w:type="paragraph" w:styleId="BodyText3">
    <w:name w:val="Body Text 3"/>
    <w:basedOn w:val="Normal"/>
    <w:uiPriority w:val="99"/>
    <w:unhideWhenUsed/>
    <w:rsid w:val="00F978CE"/>
    <w:pPr>
      <w:spacing w:after="120"/>
    </w:pPr>
    <w:rPr>
      <w:sz w:val="16"/>
      <w:szCs w:val="16"/>
    </w:rPr>
  </w:style>
  <w:style w:type="paragraph" w:styleId="BodyTextFirstIndent">
    <w:name w:val="Body Text First Indent"/>
    <w:basedOn w:val="BodyText"/>
    <w:uiPriority w:val="99"/>
    <w:unhideWhenUsed/>
    <w:rsid w:val="00F978CE"/>
    <w:pPr>
      <w:spacing w:after="0"/>
      <w:ind w:firstLine="360"/>
    </w:pPr>
  </w:style>
  <w:style w:type="paragraph" w:styleId="BodyTextIndent">
    <w:name w:val="Body Text Indent"/>
    <w:basedOn w:val="Normal"/>
    <w:uiPriority w:val="99"/>
    <w:unhideWhenUsed/>
    <w:rsid w:val="00F978CE"/>
    <w:pPr>
      <w:spacing w:after="120"/>
      <w:ind w:left="283"/>
    </w:pPr>
  </w:style>
  <w:style w:type="paragraph" w:styleId="BodyTextFirstIndent2">
    <w:name w:val="Body Text First Indent 2"/>
    <w:basedOn w:val="BodyTextIndent"/>
    <w:uiPriority w:val="99"/>
    <w:unhideWhenUsed/>
    <w:rsid w:val="00F978CE"/>
    <w:pPr>
      <w:spacing w:after="0"/>
      <w:ind w:left="360" w:firstLine="360"/>
    </w:pPr>
  </w:style>
  <w:style w:type="paragraph" w:styleId="BodyTextIndent2">
    <w:name w:val="Body Text Indent 2"/>
    <w:basedOn w:val="Normal"/>
    <w:uiPriority w:val="99"/>
    <w:unhideWhenUsed/>
    <w:rsid w:val="00F978CE"/>
    <w:pPr>
      <w:spacing w:after="120" w:line="480" w:lineRule="auto"/>
      <w:ind w:left="283"/>
    </w:pPr>
  </w:style>
  <w:style w:type="paragraph" w:styleId="BodyTextIndent3">
    <w:name w:val="Body Text Indent 3"/>
    <w:basedOn w:val="Normal"/>
    <w:uiPriority w:val="99"/>
    <w:unhideWhenUsed/>
    <w:rsid w:val="00F978CE"/>
    <w:pPr>
      <w:spacing w:after="120"/>
      <w:ind w:left="283"/>
    </w:pPr>
    <w:rPr>
      <w:sz w:val="16"/>
      <w:szCs w:val="16"/>
    </w:rPr>
  </w:style>
  <w:style w:type="character" w:styleId="BookTitle">
    <w:name w:val="Book Title"/>
    <w:basedOn w:val="DefaultParagraphFont"/>
    <w:uiPriority w:val="99"/>
    <w:unhideWhenUsed/>
    <w:qFormat/>
    <w:rsid w:val="00F978CE"/>
    <w:rPr>
      <w:b/>
      <w:bCs/>
      <w:i/>
      <w:iCs/>
      <w:spacing w:val="5"/>
    </w:rPr>
  </w:style>
  <w:style w:type="paragraph" w:styleId="Caption">
    <w:name w:val="caption"/>
    <w:basedOn w:val="Normal"/>
    <w:next w:val="Normal"/>
    <w:uiPriority w:val="35"/>
    <w:unhideWhenUsed/>
    <w:qFormat/>
    <w:rsid w:val="00F978CE"/>
    <w:pPr>
      <w:spacing w:after="200"/>
    </w:pPr>
    <w:rPr>
      <w:i/>
      <w:iCs/>
      <w:color w:val="AF005F" w:themeColor="text2"/>
      <w:sz w:val="18"/>
      <w:szCs w:val="18"/>
    </w:rPr>
  </w:style>
  <w:style w:type="paragraph" w:styleId="Closing">
    <w:name w:val="Closing"/>
    <w:basedOn w:val="Normal"/>
    <w:uiPriority w:val="99"/>
    <w:unhideWhenUsed/>
    <w:rsid w:val="00F978CE"/>
    <w:pPr>
      <w:ind w:left="4252"/>
    </w:pPr>
  </w:style>
  <w:style w:type="table" w:styleId="ColorfulGrid-Accent4">
    <w:name w:val="Colorful Grid Accent 4"/>
    <w:basedOn w:val="TableNormal"/>
    <w:uiPriority w:val="73"/>
    <w:unhideWhenUsed/>
    <w:rsid w:val="00F978CE"/>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E5E5" w:themeFill="accent4" w:themeFillTint="33"/>
    </w:tcPr>
    <w:tblStylePr w:type="firstRow">
      <w:rPr>
        <w:b/>
        <w:bCs/>
      </w:rPr>
      <w:tblPr/>
      <w:tcPr>
        <w:shd w:val="clear" w:color="auto" w:fill="CCCCCC" w:themeFill="accent4" w:themeFillTint="66"/>
      </w:tcPr>
    </w:tblStylePr>
    <w:tblStylePr w:type="lastRow">
      <w:rPr>
        <w:b/>
        <w:bCs/>
        <w:color w:val="000000" w:themeColor="text1"/>
      </w:rPr>
      <w:tblPr/>
      <w:tcPr>
        <w:shd w:val="clear" w:color="auto" w:fill="CCCCCC" w:themeFill="accent4" w:themeFillTint="66"/>
      </w:tcPr>
    </w:tblStylePr>
    <w:tblStylePr w:type="firstCol">
      <w:rPr>
        <w:color w:val="FFFFFF" w:themeColor="background1"/>
      </w:rPr>
      <w:tblPr/>
      <w:tcPr>
        <w:shd w:val="clear" w:color="auto" w:fill="5F5F5F" w:themeFill="accent4" w:themeFillShade="BF"/>
      </w:tcPr>
    </w:tblStylePr>
    <w:tblStylePr w:type="lastCol">
      <w:rPr>
        <w:color w:val="FFFFFF" w:themeColor="background1"/>
      </w:rPr>
      <w:tblPr/>
      <w:tcPr>
        <w:shd w:val="clear" w:color="auto" w:fill="5F5F5F" w:themeFill="accent4" w:themeFillShade="BF"/>
      </w:tcPr>
    </w:tblStylePr>
    <w:tblStylePr w:type="band1Vert">
      <w:tblPr/>
      <w:tcPr>
        <w:shd w:val="clear" w:color="auto" w:fill="BFBFBF" w:themeFill="accent4" w:themeFillTint="7F"/>
      </w:tcPr>
    </w:tblStylePr>
    <w:tblStylePr w:type="band1Horz">
      <w:tblPr/>
      <w:tcPr>
        <w:shd w:val="clear" w:color="auto" w:fill="BFBFBF" w:themeFill="accent4" w:themeFillTint="7F"/>
      </w:tcPr>
    </w:tblStylePr>
  </w:style>
  <w:style w:type="table" w:styleId="ColorfulGrid-Accent5">
    <w:name w:val="Colorful Grid Accent 5"/>
    <w:basedOn w:val="TableNormal"/>
    <w:uiPriority w:val="73"/>
    <w:unhideWhenUsed/>
    <w:rsid w:val="00F978CE"/>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EAEA" w:themeFill="accent5" w:themeFillTint="33"/>
    </w:tcPr>
    <w:tblStylePr w:type="firstRow">
      <w:rPr>
        <w:b/>
        <w:bCs/>
      </w:rPr>
      <w:tblPr/>
      <w:tcPr>
        <w:shd w:val="clear" w:color="auto" w:fill="D5D5D5" w:themeFill="accent5" w:themeFillTint="66"/>
      </w:tcPr>
    </w:tblStylePr>
    <w:tblStylePr w:type="lastRow">
      <w:rPr>
        <w:b/>
        <w:bCs/>
        <w:color w:val="000000" w:themeColor="text1"/>
      </w:rPr>
      <w:tblPr/>
      <w:tcPr>
        <w:shd w:val="clear" w:color="auto" w:fill="D5D5D5" w:themeFill="accent5" w:themeFillTint="66"/>
      </w:tcPr>
    </w:tblStylePr>
    <w:tblStylePr w:type="firstCol">
      <w:rPr>
        <w:color w:val="FFFFFF" w:themeColor="background1"/>
      </w:rPr>
      <w:tblPr/>
      <w:tcPr>
        <w:shd w:val="clear" w:color="auto" w:fill="707070" w:themeFill="accent5" w:themeFillShade="BF"/>
      </w:tcPr>
    </w:tblStylePr>
    <w:tblStylePr w:type="lastCol">
      <w:rPr>
        <w:color w:val="FFFFFF" w:themeColor="background1"/>
      </w:rPr>
      <w:tblPr/>
      <w:tcPr>
        <w:shd w:val="clear" w:color="auto" w:fill="707070" w:themeFill="accent5" w:themeFillShade="BF"/>
      </w:tcPr>
    </w:tblStylePr>
    <w:tblStylePr w:type="band1Vert">
      <w:tblPr/>
      <w:tcPr>
        <w:shd w:val="clear" w:color="auto" w:fill="CACACA" w:themeFill="accent5" w:themeFillTint="7F"/>
      </w:tcPr>
    </w:tblStylePr>
    <w:tblStylePr w:type="band1Horz">
      <w:tblPr/>
      <w:tcPr>
        <w:shd w:val="clear" w:color="auto" w:fill="CACACA" w:themeFill="accent5" w:themeFillTint="7F"/>
      </w:tcPr>
    </w:tblStylePr>
  </w:style>
  <w:style w:type="table" w:styleId="ColorfulGrid-Accent6">
    <w:name w:val="Colorful Grid Accent 6"/>
    <w:basedOn w:val="TableNormal"/>
    <w:uiPriority w:val="73"/>
    <w:unhideWhenUsed/>
    <w:rsid w:val="00F978CE"/>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3F3F3" w:themeFill="accent6" w:themeFillTint="33"/>
    </w:tcPr>
    <w:tblStylePr w:type="firstRow">
      <w:rPr>
        <w:b/>
        <w:bCs/>
      </w:rPr>
      <w:tblPr/>
      <w:tcPr>
        <w:shd w:val="clear" w:color="auto" w:fill="E7E7E7" w:themeFill="accent6" w:themeFillTint="66"/>
      </w:tcPr>
    </w:tblStylePr>
    <w:tblStylePr w:type="lastRow">
      <w:rPr>
        <w:b/>
        <w:bCs/>
        <w:color w:val="000000" w:themeColor="text1"/>
      </w:rPr>
      <w:tblPr/>
      <w:tcPr>
        <w:shd w:val="clear" w:color="auto" w:fill="E7E7E7" w:themeFill="accent6" w:themeFillTint="66"/>
      </w:tcPr>
    </w:tblStylePr>
    <w:tblStylePr w:type="firstCol">
      <w:rPr>
        <w:color w:val="FFFFFF" w:themeColor="background1"/>
      </w:rPr>
      <w:tblPr/>
      <w:tcPr>
        <w:shd w:val="clear" w:color="auto" w:fill="929292" w:themeFill="accent6" w:themeFillShade="BF"/>
      </w:tcPr>
    </w:tblStylePr>
    <w:tblStylePr w:type="lastCol">
      <w:rPr>
        <w:color w:val="FFFFFF" w:themeColor="background1"/>
      </w:rPr>
      <w:tblPr/>
      <w:tcPr>
        <w:shd w:val="clear" w:color="auto" w:fill="929292" w:themeFill="accent6" w:themeFillShade="BF"/>
      </w:tcPr>
    </w:tblStylePr>
    <w:tblStylePr w:type="band1Vert">
      <w:tblPr/>
      <w:tcPr>
        <w:shd w:val="clear" w:color="auto" w:fill="E1E1E1" w:themeFill="accent6" w:themeFillTint="7F"/>
      </w:tcPr>
    </w:tblStylePr>
    <w:tblStylePr w:type="band1Horz">
      <w:tblPr/>
      <w:tcPr>
        <w:shd w:val="clear" w:color="auto" w:fill="E1E1E1" w:themeFill="accent6" w:themeFillTint="7F"/>
      </w:tcPr>
    </w:tblStylePr>
  </w:style>
  <w:style w:type="table" w:styleId="ColorfulList">
    <w:name w:val="Colorful List"/>
    <w:basedOn w:val="TableNormal"/>
    <w:uiPriority w:val="72"/>
    <w:unhideWhenUsed/>
    <w:rsid w:val="00F978CE"/>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82865" w:themeFill="accent2" w:themeFillShade="CC"/>
      </w:tcPr>
    </w:tblStylePr>
    <w:tblStylePr w:type="lastRow">
      <w:rPr>
        <w:b/>
        <w:bCs/>
        <w:color w:val="982865"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unhideWhenUsed/>
    <w:rsid w:val="00F978CE"/>
    <w:pPr>
      <w:spacing w:after="0" w:line="240" w:lineRule="auto"/>
    </w:pPr>
    <w:rPr>
      <w:color w:val="000000" w:themeColor="text1"/>
    </w:rPr>
    <w:tblPr>
      <w:tblStyleRowBandSize w:val="1"/>
      <w:tblStyleColBandSize w:val="1"/>
    </w:tblPr>
    <w:tcPr>
      <w:shd w:val="clear" w:color="auto" w:fill="FFDEEF" w:themeFill="accent1" w:themeFillTint="19"/>
    </w:tcPr>
    <w:tblStylePr w:type="firstRow">
      <w:rPr>
        <w:b/>
        <w:bCs/>
        <w:color w:val="FFFFFF" w:themeColor="background1"/>
      </w:rPr>
      <w:tblPr/>
      <w:tcPr>
        <w:tcBorders>
          <w:bottom w:val="single" w:sz="12" w:space="0" w:color="FFFFFF" w:themeColor="background1"/>
        </w:tcBorders>
        <w:shd w:val="clear" w:color="auto" w:fill="982865" w:themeFill="accent2" w:themeFillShade="CC"/>
      </w:tcPr>
    </w:tblStylePr>
    <w:tblStylePr w:type="lastRow">
      <w:rPr>
        <w:b/>
        <w:bCs/>
        <w:color w:val="982865"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ACD8" w:themeFill="accent1" w:themeFillTint="3F"/>
      </w:tcPr>
    </w:tblStylePr>
    <w:tblStylePr w:type="band1Horz">
      <w:tblPr/>
      <w:tcPr>
        <w:shd w:val="clear" w:color="auto" w:fill="FFBCE0" w:themeFill="accent1" w:themeFillTint="33"/>
      </w:tcPr>
    </w:tblStylePr>
  </w:style>
  <w:style w:type="table" w:styleId="ColorfulList-Accent2">
    <w:name w:val="Colorful List Accent 2"/>
    <w:basedOn w:val="TableNormal"/>
    <w:uiPriority w:val="72"/>
    <w:unhideWhenUsed/>
    <w:rsid w:val="00F978CE"/>
    <w:pPr>
      <w:spacing w:after="0" w:line="240" w:lineRule="auto"/>
    </w:pPr>
    <w:rPr>
      <w:color w:val="000000" w:themeColor="text1"/>
    </w:rPr>
    <w:tblPr>
      <w:tblStyleRowBandSize w:val="1"/>
      <w:tblStyleColBandSize w:val="1"/>
    </w:tblPr>
    <w:tcPr>
      <w:shd w:val="clear" w:color="auto" w:fill="F9EAF2" w:themeFill="accent2" w:themeFillTint="19"/>
    </w:tcPr>
    <w:tblStylePr w:type="firstRow">
      <w:rPr>
        <w:b/>
        <w:bCs/>
        <w:color w:val="FFFFFF" w:themeColor="background1"/>
      </w:rPr>
      <w:tblPr/>
      <w:tcPr>
        <w:tcBorders>
          <w:bottom w:val="single" w:sz="12" w:space="0" w:color="FFFFFF" w:themeColor="background1"/>
        </w:tcBorders>
        <w:shd w:val="clear" w:color="auto" w:fill="982865" w:themeFill="accent2" w:themeFillShade="CC"/>
      </w:tcPr>
    </w:tblStylePr>
    <w:tblStylePr w:type="lastRow">
      <w:rPr>
        <w:b/>
        <w:bCs/>
        <w:color w:val="982865"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1CADF" w:themeFill="accent2" w:themeFillTint="3F"/>
      </w:tcPr>
    </w:tblStylePr>
    <w:tblStylePr w:type="band1Horz">
      <w:tblPr/>
      <w:tcPr>
        <w:shd w:val="clear" w:color="auto" w:fill="F3D4E5" w:themeFill="accent2" w:themeFillTint="33"/>
      </w:tcPr>
    </w:tblStylePr>
  </w:style>
  <w:style w:type="table" w:styleId="ColorfulList-Accent3">
    <w:name w:val="Colorful List Accent 3"/>
    <w:basedOn w:val="TableNormal"/>
    <w:uiPriority w:val="72"/>
    <w:unhideWhenUsed/>
    <w:rsid w:val="00F978CE"/>
    <w:pPr>
      <w:spacing w:after="0" w:line="240" w:lineRule="auto"/>
    </w:pPr>
    <w:rPr>
      <w:color w:val="000000" w:themeColor="text1"/>
    </w:rPr>
    <w:tblPr>
      <w:tblStyleRowBandSize w:val="1"/>
      <w:tblStyleColBandSize w:val="1"/>
    </w:tblPr>
    <w:tcPr>
      <w:shd w:val="clear" w:color="auto" w:fill="FAEFF4" w:themeFill="accent3" w:themeFillTint="19"/>
    </w:tcPr>
    <w:tblStylePr w:type="firstRow">
      <w:rPr>
        <w:b/>
        <w:bCs/>
        <w:color w:val="FFFFFF" w:themeColor="background1"/>
      </w:rPr>
      <w:tblPr/>
      <w:tcPr>
        <w:tcBorders>
          <w:bottom w:val="single" w:sz="12" w:space="0" w:color="FFFFFF" w:themeColor="background1"/>
        </w:tcBorders>
        <w:shd w:val="clear" w:color="auto" w:fill="666666" w:themeFill="accent4" w:themeFillShade="CC"/>
      </w:tcPr>
    </w:tblStylePr>
    <w:tblStylePr w:type="lastRow">
      <w:rPr>
        <w:b/>
        <w:bCs/>
        <w:color w:val="666666"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2D6E5" w:themeFill="accent3" w:themeFillTint="3F"/>
      </w:tcPr>
    </w:tblStylePr>
    <w:tblStylePr w:type="band1Horz">
      <w:tblPr/>
      <w:tcPr>
        <w:shd w:val="clear" w:color="auto" w:fill="F4DEEA" w:themeFill="accent3" w:themeFillTint="33"/>
      </w:tcPr>
    </w:tblStylePr>
  </w:style>
  <w:style w:type="table" w:styleId="ColorfulList-Accent4">
    <w:name w:val="Colorful List Accent 4"/>
    <w:basedOn w:val="TableNormal"/>
    <w:uiPriority w:val="72"/>
    <w:unhideWhenUsed/>
    <w:rsid w:val="00F978CE"/>
    <w:pPr>
      <w:spacing w:after="0" w:line="240" w:lineRule="auto"/>
    </w:pPr>
    <w:rPr>
      <w:color w:val="000000" w:themeColor="text1"/>
    </w:rPr>
    <w:tblPr>
      <w:tblStyleRowBandSize w:val="1"/>
      <w:tblStyleColBandSize w:val="1"/>
    </w:tblPr>
    <w:tcPr>
      <w:shd w:val="clear" w:color="auto" w:fill="F2F2F2" w:themeFill="accent4" w:themeFillTint="19"/>
    </w:tcPr>
    <w:tblStylePr w:type="firstRow">
      <w:rPr>
        <w:b/>
        <w:bCs/>
        <w:color w:val="FFFFFF" w:themeColor="background1"/>
      </w:rPr>
      <w:tblPr/>
      <w:tcPr>
        <w:tcBorders>
          <w:bottom w:val="single" w:sz="12" w:space="0" w:color="FFFFFF" w:themeColor="background1"/>
        </w:tcBorders>
        <w:shd w:val="clear" w:color="auto" w:fill="B4387B" w:themeFill="accent3" w:themeFillShade="CC"/>
      </w:tcPr>
    </w:tblStylePr>
    <w:tblStylePr w:type="lastRow">
      <w:rPr>
        <w:b/>
        <w:bCs/>
        <w:color w:val="B4387B"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FDF" w:themeFill="accent4" w:themeFillTint="3F"/>
      </w:tcPr>
    </w:tblStylePr>
    <w:tblStylePr w:type="band1Horz">
      <w:tblPr/>
      <w:tcPr>
        <w:shd w:val="clear" w:color="auto" w:fill="E5E5E5" w:themeFill="accent4" w:themeFillTint="33"/>
      </w:tcPr>
    </w:tblStylePr>
  </w:style>
  <w:style w:type="table" w:styleId="ColorfulList-Accent5">
    <w:name w:val="Colorful List Accent 5"/>
    <w:basedOn w:val="TableNormal"/>
    <w:uiPriority w:val="72"/>
    <w:unhideWhenUsed/>
    <w:rsid w:val="00F978CE"/>
    <w:pPr>
      <w:spacing w:after="0" w:line="240" w:lineRule="auto"/>
    </w:pPr>
    <w:rPr>
      <w:color w:val="000000" w:themeColor="text1"/>
    </w:rPr>
    <w:tblPr>
      <w:tblStyleRowBandSize w:val="1"/>
      <w:tblStyleColBandSize w:val="1"/>
    </w:tblPr>
    <w:tcPr>
      <w:shd w:val="clear" w:color="auto" w:fill="F4F4F4" w:themeFill="accent5" w:themeFillTint="19"/>
    </w:tcPr>
    <w:tblStylePr w:type="firstRow">
      <w:rPr>
        <w:b/>
        <w:bCs/>
        <w:color w:val="FFFFFF" w:themeColor="background1"/>
      </w:rPr>
      <w:tblPr/>
      <w:tcPr>
        <w:tcBorders>
          <w:bottom w:val="single" w:sz="12" w:space="0" w:color="FFFFFF" w:themeColor="background1"/>
        </w:tcBorders>
        <w:shd w:val="clear" w:color="auto" w:fill="9C9C9C" w:themeFill="accent6" w:themeFillShade="CC"/>
      </w:tcPr>
    </w:tblStylePr>
    <w:tblStylePr w:type="lastRow">
      <w:rPr>
        <w:b/>
        <w:bCs/>
        <w:color w:val="9C9C9C"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5E5E5" w:themeFill="accent5" w:themeFillTint="3F"/>
      </w:tcPr>
    </w:tblStylePr>
    <w:tblStylePr w:type="band1Horz">
      <w:tblPr/>
      <w:tcPr>
        <w:shd w:val="clear" w:color="auto" w:fill="EAEAEA" w:themeFill="accent5" w:themeFillTint="33"/>
      </w:tcPr>
    </w:tblStylePr>
  </w:style>
  <w:style w:type="table" w:styleId="ColorfulList-Accent6">
    <w:name w:val="Colorful List Accent 6"/>
    <w:basedOn w:val="TableNormal"/>
    <w:uiPriority w:val="72"/>
    <w:unhideWhenUsed/>
    <w:rsid w:val="00F978CE"/>
    <w:pPr>
      <w:spacing w:after="0" w:line="240" w:lineRule="auto"/>
    </w:pPr>
    <w:rPr>
      <w:color w:val="000000" w:themeColor="text1"/>
    </w:rPr>
    <w:tblPr>
      <w:tblStyleRowBandSize w:val="1"/>
      <w:tblStyleColBandSize w:val="1"/>
    </w:tblPr>
    <w:tcPr>
      <w:shd w:val="clear" w:color="auto" w:fill="F9F9F9" w:themeFill="accent6" w:themeFillTint="19"/>
    </w:tcPr>
    <w:tblStylePr w:type="firstRow">
      <w:rPr>
        <w:b/>
        <w:bCs/>
        <w:color w:val="FFFFFF" w:themeColor="background1"/>
      </w:rPr>
      <w:tblPr/>
      <w:tcPr>
        <w:tcBorders>
          <w:bottom w:val="single" w:sz="12" w:space="0" w:color="FFFFFF" w:themeColor="background1"/>
        </w:tcBorders>
        <w:shd w:val="clear" w:color="auto" w:fill="787878" w:themeFill="accent5" w:themeFillShade="CC"/>
      </w:tcPr>
    </w:tblStylePr>
    <w:tblStylePr w:type="lastRow">
      <w:rPr>
        <w:b/>
        <w:bCs/>
        <w:color w:val="787878"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0F0F0" w:themeFill="accent6" w:themeFillTint="3F"/>
      </w:tcPr>
    </w:tblStylePr>
    <w:tblStylePr w:type="band1Horz">
      <w:tblPr/>
      <w:tcPr>
        <w:shd w:val="clear" w:color="auto" w:fill="F3F3F3" w:themeFill="accent6" w:themeFillTint="33"/>
      </w:tcPr>
    </w:tblStylePr>
  </w:style>
  <w:style w:type="table" w:styleId="ColorfulShading">
    <w:name w:val="Colorful Shading"/>
    <w:basedOn w:val="TableNormal"/>
    <w:uiPriority w:val="71"/>
    <w:unhideWhenUsed/>
    <w:rsid w:val="00F978CE"/>
    <w:pPr>
      <w:spacing w:after="0" w:line="240" w:lineRule="auto"/>
    </w:pPr>
    <w:rPr>
      <w:color w:val="000000" w:themeColor="text1"/>
    </w:rPr>
    <w:tblPr>
      <w:tblStyleRowBandSize w:val="1"/>
      <w:tblStyleColBandSize w:val="1"/>
      <w:tblBorders>
        <w:top w:val="single" w:sz="24" w:space="0" w:color="BF337F"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BF337F"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unhideWhenUsed/>
    <w:rsid w:val="00F978CE"/>
    <w:pPr>
      <w:spacing w:after="0" w:line="240" w:lineRule="auto"/>
    </w:pPr>
    <w:rPr>
      <w:color w:val="000000" w:themeColor="text1"/>
    </w:rPr>
    <w:tblPr>
      <w:tblStyleRowBandSize w:val="1"/>
      <w:tblStyleColBandSize w:val="1"/>
      <w:tblBorders>
        <w:top w:val="single" w:sz="24" w:space="0" w:color="BF337F" w:themeColor="accent2"/>
        <w:left w:val="single" w:sz="4" w:space="0" w:color="AF005F" w:themeColor="accent1"/>
        <w:bottom w:val="single" w:sz="4" w:space="0" w:color="AF005F" w:themeColor="accent1"/>
        <w:right w:val="single" w:sz="4" w:space="0" w:color="AF005F" w:themeColor="accent1"/>
        <w:insideH w:val="single" w:sz="4" w:space="0" w:color="FFFFFF" w:themeColor="background1"/>
        <w:insideV w:val="single" w:sz="4" w:space="0" w:color="FFFFFF" w:themeColor="background1"/>
      </w:tblBorders>
    </w:tblPr>
    <w:tcPr>
      <w:shd w:val="clear" w:color="auto" w:fill="FFDEEF" w:themeFill="accent1" w:themeFillTint="19"/>
    </w:tcPr>
    <w:tblStylePr w:type="firstRow">
      <w:rPr>
        <w:b/>
        <w:bCs/>
      </w:rPr>
      <w:tblPr/>
      <w:tcPr>
        <w:tcBorders>
          <w:top w:val="nil"/>
          <w:left w:val="nil"/>
          <w:bottom w:val="single" w:sz="24" w:space="0" w:color="BF337F"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90038" w:themeFill="accent1" w:themeFillShade="99"/>
      </w:tcPr>
    </w:tblStylePr>
    <w:tblStylePr w:type="firstCol">
      <w:rPr>
        <w:color w:val="FFFFFF" w:themeColor="background1"/>
      </w:rPr>
      <w:tblPr/>
      <w:tcPr>
        <w:tcBorders>
          <w:top w:val="nil"/>
          <w:left w:val="nil"/>
          <w:bottom w:val="nil"/>
          <w:right w:val="nil"/>
          <w:insideH w:val="single" w:sz="4" w:space="0" w:color="690038" w:themeColor="accent1" w:themeShade="99"/>
          <w:insideV w:val="nil"/>
        </w:tcBorders>
        <w:shd w:val="clear" w:color="auto" w:fill="690038"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690038" w:themeFill="accent1" w:themeFillShade="99"/>
      </w:tcPr>
    </w:tblStylePr>
    <w:tblStylePr w:type="band1Vert">
      <w:tblPr/>
      <w:tcPr>
        <w:shd w:val="clear" w:color="auto" w:fill="FF79C1" w:themeFill="accent1" w:themeFillTint="66"/>
      </w:tcPr>
    </w:tblStylePr>
    <w:tblStylePr w:type="band1Horz">
      <w:tblPr/>
      <w:tcPr>
        <w:shd w:val="clear" w:color="auto" w:fill="FF58B2"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unhideWhenUsed/>
    <w:rsid w:val="00F978CE"/>
    <w:pPr>
      <w:spacing w:after="0" w:line="240" w:lineRule="auto"/>
    </w:pPr>
    <w:rPr>
      <w:color w:val="000000" w:themeColor="text1"/>
    </w:rPr>
    <w:tblPr>
      <w:tblStyleRowBandSize w:val="1"/>
      <w:tblStyleColBandSize w:val="1"/>
      <w:tblBorders>
        <w:top w:val="single" w:sz="24" w:space="0" w:color="BF337F" w:themeColor="accent2"/>
        <w:left w:val="single" w:sz="4" w:space="0" w:color="BF337F" w:themeColor="accent2"/>
        <w:bottom w:val="single" w:sz="4" w:space="0" w:color="BF337F" w:themeColor="accent2"/>
        <w:right w:val="single" w:sz="4" w:space="0" w:color="BF337F" w:themeColor="accent2"/>
        <w:insideH w:val="single" w:sz="4" w:space="0" w:color="FFFFFF" w:themeColor="background1"/>
        <w:insideV w:val="single" w:sz="4" w:space="0" w:color="FFFFFF" w:themeColor="background1"/>
      </w:tblBorders>
    </w:tblPr>
    <w:tcPr>
      <w:shd w:val="clear" w:color="auto" w:fill="F9EAF2" w:themeFill="accent2" w:themeFillTint="19"/>
    </w:tcPr>
    <w:tblStylePr w:type="firstRow">
      <w:rPr>
        <w:b/>
        <w:bCs/>
      </w:rPr>
      <w:tblPr/>
      <w:tcPr>
        <w:tcBorders>
          <w:top w:val="nil"/>
          <w:left w:val="nil"/>
          <w:bottom w:val="single" w:sz="24" w:space="0" w:color="BF337F"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21E4B" w:themeFill="accent2" w:themeFillShade="99"/>
      </w:tcPr>
    </w:tblStylePr>
    <w:tblStylePr w:type="firstCol">
      <w:rPr>
        <w:color w:val="FFFFFF" w:themeColor="background1"/>
      </w:rPr>
      <w:tblPr/>
      <w:tcPr>
        <w:tcBorders>
          <w:top w:val="nil"/>
          <w:left w:val="nil"/>
          <w:bottom w:val="nil"/>
          <w:right w:val="nil"/>
          <w:insideH w:val="single" w:sz="4" w:space="0" w:color="721E4B" w:themeColor="accent2" w:themeShade="99"/>
          <w:insideV w:val="nil"/>
        </w:tcBorders>
        <w:shd w:val="clear" w:color="auto" w:fill="721E4B"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21E4B" w:themeFill="accent2" w:themeFillShade="99"/>
      </w:tcPr>
    </w:tblStylePr>
    <w:tblStylePr w:type="band1Vert">
      <w:tblPr/>
      <w:tcPr>
        <w:shd w:val="clear" w:color="auto" w:fill="E8AACB" w:themeFill="accent2" w:themeFillTint="66"/>
      </w:tcPr>
    </w:tblStylePr>
    <w:tblStylePr w:type="band1Horz">
      <w:tblPr/>
      <w:tcPr>
        <w:shd w:val="clear" w:color="auto" w:fill="E295BF"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unhideWhenUsed/>
    <w:rsid w:val="00F978CE"/>
    <w:pPr>
      <w:spacing w:after="0" w:line="240" w:lineRule="auto"/>
    </w:pPr>
    <w:rPr>
      <w:color w:val="000000" w:themeColor="text1"/>
    </w:rPr>
    <w:tblPr>
      <w:tblStyleRowBandSize w:val="1"/>
      <w:tblStyleColBandSize w:val="1"/>
      <w:tblBorders>
        <w:top w:val="single" w:sz="24" w:space="0" w:color="808080" w:themeColor="accent4"/>
        <w:left w:val="single" w:sz="4" w:space="0" w:color="CC5C99" w:themeColor="accent3"/>
        <w:bottom w:val="single" w:sz="4" w:space="0" w:color="CC5C99" w:themeColor="accent3"/>
        <w:right w:val="single" w:sz="4" w:space="0" w:color="CC5C99" w:themeColor="accent3"/>
        <w:insideH w:val="single" w:sz="4" w:space="0" w:color="FFFFFF" w:themeColor="background1"/>
        <w:insideV w:val="single" w:sz="4" w:space="0" w:color="FFFFFF" w:themeColor="background1"/>
      </w:tblBorders>
    </w:tblPr>
    <w:tcPr>
      <w:shd w:val="clear" w:color="auto" w:fill="FAEFF4" w:themeFill="accent3" w:themeFillTint="19"/>
    </w:tcPr>
    <w:tblStylePr w:type="firstRow">
      <w:rPr>
        <w:b/>
        <w:bCs/>
      </w:rPr>
      <w:tblPr/>
      <w:tcPr>
        <w:tcBorders>
          <w:top w:val="nil"/>
          <w:left w:val="nil"/>
          <w:bottom w:val="single" w:sz="24" w:space="0" w:color="80808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872A5C" w:themeFill="accent3" w:themeFillShade="99"/>
      </w:tcPr>
    </w:tblStylePr>
    <w:tblStylePr w:type="firstCol">
      <w:rPr>
        <w:color w:val="FFFFFF" w:themeColor="background1"/>
      </w:rPr>
      <w:tblPr/>
      <w:tcPr>
        <w:tcBorders>
          <w:top w:val="nil"/>
          <w:left w:val="nil"/>
          <w:bottom w:val="nil"/>
          <w:right w:val="nil"/>
          <w:insideH w:val="single" w:sz="4" w:space="0" w:color="872A5C" w:themeColor="accent3" w:themeShade="99"/>
          <w:insideV w:val="nil"/>
        </w:tcBorders>
        <w:shd w:val="clear" w:color="auto" w:fill="872A5C"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872A5C" w:themeFill="accent3" w:themeFillShade="99"/>
      </w:tcPr>
    </w:tblStylePr>
    <w:tblStylePr w:type="band1Vert">
      <w:tblPr/>
      <w:tcPr>
        <w:shd w:val="clear" w:color="auto" w:fill="EABDD6" w:themeFill="accent3" w:themeFillTint="66"/>
      </w:tcPr>
    </w:tblStylePr>
    <w:tblStylePr w:type="band1Horz">
      <w:tblPr/>
      <w:tcPr>
        <w:shd w:val="clear" w:color="auto" w:fill="E5ADCB" w:themeFill="accent3" w:themeFillTint="7F"/>
      </w:tcPr>
    </w:tblStylePr>
  </w:style>
  <w:style w:type="table" w:styleId="ColorfulShading-Accent4">
    <w:name w:val="Colorful Shading Accent 4"/>
    <w:basedOn w:val="TableNormal"/>
    <w:uiPriority w:val="71"/>
    <w:unhideWhenUsed/>
    <w:rsid w:val="00F978CE"/>
    <w:pPr>
      <w:spacing w:after="0" w:line="240" w:lineRule="auto"/>
    </w:pPr>
    <w:rPr>
      <w:color w:val="000000" w:themeColor="text1"/>
    </w:rPr>
    <w:tblPr>
      <w:tblStyleRowBandSize w:val="1"/>
      <w:tblStyleColBandSize w:val="1"/>
      <w:tblBorders>
        <w:top w:val="single" w:sz="24" w:space="0" w:color="CC5C99" w:themeColor="accent3"/>
        <w:left w:val="single" w:sz="4" w:space="0" w:color="808080" w:themeColor="accent4"/>
        <w:bottom w:val="single" w:sz="4" w:space="0" w:color="808080" w:themeColor="accent4"/>
        <w:right w:val="single" w:sz="4" w:space="0" w:color="808080" w:themeColor="accent4"/>
        <w:insideH w:val="single" w:sz="4" w:space="0" w:color="FFFFFF" w:themeColor="background1"/>
        <w:insideV w:val="single" w:sz="4" w:space="0" w:color="FFFFFF" w:themeColor="background1"/>
      </w:tblBorders>
    </w:tblPr>
    <w:tcPr>
      <w:shd w:val="clear" w:color="auto" w:fill="F2F2F2" w:themeFill="accent4" w:themeFillTint="19"/>
    </w:tcPr>
    <w:tblStylePr w:type="firstRow">
      <w:rPr>
        <w:b/>
        <w:bCs/>
      </w:rPr>
      <w:tblPr/>
      <w:tcPr>
        <w:tcBorders>
          <w:top w:val="nil"/>
          <w:left w:val="nil"/>
          <w:bottom w:val="single" w:sz="24" w:space="0" w:color="CC5C9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4C4C" w:themeFill="accent4" w:themeFillShade="99"/>
      </w:tcPr>
    </w:tblStylePr>
    <w:tblStylePr w:type="firstCol">
      <w:rPr>
        <w:color w:val="FFFFFF" w:themeColor="background1"/>
      </w:rPr>
      <w:tblPr/>
      <w:tcPr>
        <w:tcBorders>
          <w:top w:val="nil"/>
          <w:left w:val="nil"/>
          <w:bottom w:val="nil"/>
          <w:right w:val="nil"/>
          <w:insideH w:val="single" w:sz="4" w:space="0" w:color="4C4C4C" w:themeColor="accent4" w:themeShade="99"/>
          <w:insideV w:val="nil"/>
        </w:tcBorders>
        <w:shd w:val="clear" w:color="auto" w:fill="4C4C4C"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4C4C" w:themeFill="accent4" w:themeFillShade="99"/>
      </w:tcPr>
    </w:tblStylePr>
    <w:tblStylePr w:type="band1Vert">
      <w:tblPr/>
      <w:tcPr>
        <w:shd w:val="clear" w:color="auto" w:fill="CCCCCC" w:themeFill="accent4" w:themeFillTint="66"/>
      </w:tcPr>
    </w:tblStylePr>
    <w:tblStylePr w:type="band1Horz">
      <w:tblPr/>
      <w:tcPr>
        <w:shd w:val="clear" w:color="auto" w:fill="BFBFBF"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unhideWhenUsed/>
    <w:rsid w:val="00F978CE"/>
    <w:pPr>
      <w:spacing w:after="0" w:line="240" w:lineRule="auto"/>
    </w:pPr>
    <w:rPr>
      <w:color w:val="000000" w:themeColor="text1"/>
    </w:rPr>
    <w:tblPr>
      <w:tblStyleRowBandSize w:val="1"/>
      <w:tblStyleColBandSize w:val="1"/>
      <w:tblBorders>
        <w:top w:val="single" w:sz="24" w:space="0" w:color="C3C3C3" w:themeColor="accent6"/>
        <w:left w:val="single" w:sz="4" w:space="0" w:color="969696" w:themeColor="accent5"/>
        <w:bottom w:val="single" w:sz="4" w:space="0" w:color="969696" w:themeColor="accent5"/>
        <w:right w:val="single" w:sz="4" w:space="0" w:color="969696" w:themeColor="accent5"/>
        <w:insideH w:val="single" w:sz="4" w:space="0" w:color="FFFFFF" w:themeColor="background1"/>
        <w:insideV w:val="single" w:sz="4" w:space="0" w:color="FFFFFF" w:themeColor="background1"/>
      </w:tblBorders>
    </w:tblPr>
    <w:tcPr>
      <w:shd w:val="clear" w:color="auto" w:fill="F4F4F4" w:themeFill="accent5" w:themeFillTint="19"/>
    </w:tcPr>
    <w:tblStylePr w:type="firstRow">
      <w:rPr>
        <w:b/>
        <w:bCs/>
      </w:rPr>
      <w:tblPr/>
      <w:tcPr>
        <w:tcBorders>
          <w:top w:val="nil"/>
          <w:left w:val="nil"/>
          <w:bottom w:val="single" w:sz="24" w:space="0" w:color="C3C3C3"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A5A5A" w:themeFill="accent5" w:themeFillShade="99"/>
      </w:tcPr>
    </w:tblStylePr>
    <w:tblStylePr w:type="firstCol">
      <w:rPr>
        <w:color w:val="FFFFFF" w:themeColor="background1"/>
      </w:rPr>
      <w:tblPr/>
      <w:tcPr>
        <w:tcBorders>
          <w:top w:val="nil"/>
          <w:left w:val="nil"/>
          <w:bottom w:val="nil"/>
          <w:right w:val="nil"/>
          <w:insideH w:val="single" w:sz="4" w:space="0" w:color="5A5A5A" w:themeColor="accent5" w:themeShade="99"/>
          <w:insideV w:val="nil"/>
        </w:tcBorders>
        <w:shd w:val="clear" w:color="auto" w:fill="5A5A5A"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5A5A5A" w:themeFill="accent5" w:themeFillShade="99"/>
      </w:tcPr>
    </w:tblStylePr>
    <w:tblStylePr w:type="band1Vert">
      <w:tblPr/>
      <w:tcPr>
        <w:shd w:val="clear" w:color="auto" w:fill="D5D5D5" w:themeFill="accent5" w:themeFillTint="66"/>
      </w:tcPr>
    </w:tblStylePr>
    <w:tblStylePr w:type="band1Horz">
      <w:tblPr/>
      <w:tcPr>
        <w:shd w:val="clear" w:color="auto" w:fill="CACACA"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unhideWhenUsed/>
    <w:rsid w:val="00F978CE"/>
    <w:pPr>
      <w:spacing w:after="0" w:line="240" w:lineRule="auto"/>
    </w:pPr>
    <w:rPr>
      <w:color w:val="000000" w:themeColor="text1"/>
    </w:rPr>
    <w:tblPr>
      <w:tblStyleRowBandSize w:val="1"/>
      <w:tblStyleColBandSize w:val="1"/>
      <w:tblBorders>
        <w:top w:val="single" w:sz="24" w:space="0" w:color="969696" w:themeColor="accent5"/>
        <w:left w:val="single" w:sz="4" w:space="0" w:color="C3C3C3" w:themeColor="accent6"/>
        <w:bottom w:val="single" w:sz="4" w:space="0" w:color="C3C3C3" w:themeColor="accent6"/>
        <w:right w:val="single" w:sz="4" w:space="0" w:color="C3C3C3" w:themeColor="accent6"/>
        <w:insideH w:val="single" w:sz="4" w:space="0" w:color="FFFFFF" w:themeColor="background1"/>
        <w:insideV w:val="single" w:sz="4" w:space="0" w:color="FFFFFF" w:themeColor="background1"/>
      </w:tblBorders>
    </w:tblPr>
    <w:tcPr>
      <w:shd w:val="clear" w:color="auto" w:fill="F9F9F9" w:themeFill="accent6" w:themeFillTint="19"/>
    </w:tcPr>
    <w:tblStylePr w:type="firstRow">
      <w:rPr>
        <w:b/>
        <w:bCs/>
      </w:rPr>
      <w:tblPr/>
      <w:tcPr>
        <w:tcBorders>
          <w:top w:val="nil"/>
          <w:left w:val="nil"/>
          <w:bottom w:val="single" w:sz="24" w:space="0" w:color="96969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57575" w:themeFill="accent6" w:themeFillShade="99"/>
      </w:tcPr>
    </w:tblStylePr>
    <w:tblStylePr w:type="firstCol">
      <w:rPr>
        <w:color w:val="FFFFFF" w:themeColor="background1"/>
      </w:rPr>
      <w:tblPr/>
      <w:tcPr>
        <w:tcBorders>
          <w:top w:val="nil"/>
          <w:left w:val="nil"/>
          <w:bottom w:val="nil"/>
          <w:right w:val="nil"/>
          <w:insideH w:val="single" w:sz="4" w:space="0" w:color="757575" w:themeColor="accent6" w:themeShade="99"/>
          <w:insideV w:val="nil"/>
        </w:tcBorders>
        <w:shd w:val="clear" w:color="auto" w:fill="757575"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757575" w:themeFill="accent6" w:themeFillShade="99"/>
      </w:tcPr>
    </w:tblStylePr>
    <w:tblStylePr w:type="band1Vert">
      <w:tblPr/>
      <w:tcPr>
        <w:shd w:val="clear" w:color="auto" w:fill="E7E7E7" w:themeFill="accent6" w:themeFillTint="66"/>
      </w:tcPr>
    </w:tblStylePr>
    <w:tblStylePr w:type="band1Horz">
      <w:tblPr/>
      <w:tcPr>
        <w:shd w:val="clear" w:color="auto" w:fill="E1E1E1" w:themeFill="accent6" w:themeFillTint="7F"/>
      </w:tcPr>
    </w:tblStylePr>
    <w:tblStylePr w:type="neCell">
      <w:rPr>
        <w:color w:val="000000" w:themeColor="text1"/>
      </w:rPr>
    </w:tblStylePr>
    <w:tblStylePr w:type="nwCell">
      <w:rPr>
        <w:color w:val="000000" w:themeColor="text1"/>
      </w:rPr>
    </w:tblStylePr>
  </w:style>
  <w:style w:type="character" w:styleId="CommentReference">
    <w:name w:val="annotation reference"/>
    <w:basedOn w:val="DefaultParagraphFont"/>
    <w:uiPriority w:val="99"/>
    <w:unhideWhenUsed/>
    <w:rsid w:val="00F978CE"/>
    <w:rPr>
      <w:sz w:val="16"/>
      <w:szCs w:val="16"/>
    </w:rPr>
  </w:style>
  <w:style w:type="paragraph" w:styleId="CommentText">
    <w:name w:val="annotation text"/>
    <w:basedOn w:val="Normal"/>
    <w:uiPriority w:val="99"/>
    <w:unhideWhenUsed/>
    <w:rsid w:val="00F978CE"/>
    <w:rPr>
      <w:szCs w:val="20"/>
    </w:rPr>
  </w:style>
  <w:style w:type="paragraph" w:styleId="CommentSubject">
    <w:name w:val="annotation subject"/>
    <w:basedOn w:val="CommentText"/>
    <w:next w:val="CommentText"/>
    <w:uiPriority w:val="99"/>
    <w:unhideWhenUsed/>
    <w:rsid w:val="00F978CE"/>
    <w:rPr>
      <w:b/>
      <w:bCs/>
    </w:rPr>
  </w:style>
  <w:style w:type="table" w:styleId="DarkList">
    <w:name w:val="Dark List"/>
    <w:basedOn w:val="TableNormal"/>
    <w:uiPriority w:val="70"/>
    <w:unhideWhenUsed/>
    <w:rsid w:val="00F978CE"/>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unhideWhenUsed/>
    <w:rsid w:val="00F978CE"/>
    <w:pPr>
      <w:spacing w:after="0" w:line="240" w:lineRule="auto"/>
    </w:pPr>
    <w:rPr>
      <w:color w:val="FFFFFF" w:themeColor="background1"/>
    </w:rPr>
    <w:tblPr>
      <w:tblStyleRowBandSize w:val="1"/>
      <w:tblStyleColBandSize w:val="1"/>
    </w:tblPr>
    <w:tcPr>
      <w:shd w:val="clear" w:color="auto" w:fill="AF005F"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7002F"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830046"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830046" w:themeFill="accent1" w:themeFillShade="BF"/>
      </w:tcPr>
    </w:tblStylePr>
    <w:tblStylePr w:type="band1Vert">
      <w:tblPr/>
      <w:tcPr>
        <w:tcBorders>
          <w:top w:val="nil"/>
          <w:left w:val="nil"/>
          <w:bottom w:val="nil"/>
          <w:right w:val="nil"/>
          <w:insideH w:val="nil"/>
          <w:insideV w:val="nil"/>
        </w:tcBorders>
        <w:shd w:val="clear" w:color="auto" w:fill="830046" w:themeFill="accent1" w:themeFillShade="BF"/>
      </w:tcPr>
    </w:tblStylePr>
    <w:tblStylePr w:type="band1Horz">
      <w:tblPr/>
      <w:tcPr>
        <w:tcBorders>
          <w:top w:val="nil"/>
          <w:left w:val="nil"/>
          <w:bottom w:val="nil"/>
          <w:right w:val="nil"/>
          <w:insideH w:val="nil"/>
          <w:insideV w:val="nil"/>
        </w:tcBorders>
        <w:shd w:val="clear" w:color="auto" w:fill="830046" w:themeFill="accent1" w:themeFillShade="BF"/>
      </w:tcPr>
    </w:tblStylePr>
  </w:style>
  <w:style w:type="table" w:styleId="DarkList-Accent2">
    <w:name w:val="Dark List Accent 2"/>
    <w:basedOn w:val="TableNormal"/>
    <w:uiPriority w:val="70"/>
    <w:unhideWhenUsed/>
    <w:rsid w:val="00F978CE"/>
    <w:pPr>
      <w:spacing w:after="0" w:line="240" w:lineRule="auto"/>
    </w:pPr>
    <w:rPr>
      <w:color w:val="FFFFFF" w:themeColor="background1"/>
    </w:rPr>
    <w:tblPr>
      <w:tblStyleRowBandSize w:val="1"/>
      <w:tblStyleColBandSize w:val="1"/>
    </w:tblPr>
    <w:tcPr>
      <w:shd w:val="clear" w:color="auto" w:fill="BF337F"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E193F"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8E265E"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8E265E" w:themeFill="accent2" w:themeFillShade="BF"/>
      </w:tcPr>
    </w:tblStylePr>
    <w:tblStylePr w:type="band1Vert">
      <w:tblPr/>
      <w:tcPr>
        <w:tcBorders>
          <w:top w:val="nil"/>
          <w:left w:val="nil"/>
          <w:bottom w:val="nil"/>
          <w:right w:val="nil"/>
          <w:insideH w:val="nil"/>
          <w:insideV w:val="nil"/>
        </w:tcBorders>
        <w:shd w:val="clear" w:color="auto" w:fill="8E265E" w:themeFill="accent2" w:themeFillShade="BF"/>
      </w:tcPr>
    </w:tblStylePr>
    <w:tblStylePr w:type="band1Horz">
      <w:tblPr/>
      <w:tcPr>
        <w:tcBorders>
          <w:top w:val="nil"/>
          <w:left w:val="nil"/>
          <w:bottom w:val="nil"/>
          <w:right w:val="nil"/>
          <w:insideH w:val="nil"/>
          <w:insideV w:val="nil"/>
        </w:tcBorders>
        <w:shd w:val="clear" w:color="auto" w:fill="8E265E" w:themeFill="accent2" w:themeFillShade="BF"/>
      </w:tcPr>
    </w:tblStylePr>
  </w:style>
  <w:style w:type="table" w:styleId="DarkList-Accent3">
    <w:name w:val="Dark List Accent 3"/>
    <w:basedOn w:val="TableNormal"/>
    <w:uiPriority w:val="70"/>
    <w:unhideWhenUsed/>
    <w:rsid w:val="00F978CE"/>
    <w:pPr>
      <w:spacing w:after="0" w:line="240" w:lineRule="auto"/>
    </w:pPr>
    <w:rPr>
      <w:color w:val="FFFFFF" w:themeColor="background1"/>
    </w:rPr>
    <w:tblPr>
      <w:tblStyleRowBandSize w:val="1"/>
      <w:tblStyleColBandSize w:val="1"/>
    </w:tblPr>
    <w:tcPr>
      <w:shd w:val="clear" w:color="auto" w:fill="CC5C9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0234C"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A83573"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A83573" w:themeFill="accent3" w:themeFillShade="BF"/>
      </w:tcPr>
    </w:tblStylePr>
    <w:tblStylePr w:type="band1Vert">
      <w:tblPr/>
      <w:tcPr>
        <w:tcBorders>
          <w:top w:val="nil"/>
          <w:left w:val="nil"/>
          <w:bottom w:val="nil"/>
          <w:right w:val="nil"/>
          <w:insideH w:val="nil"/>
          <w:insideV w:val="nil"/>
        </w:tcBorders>
        <w:shd w:val="clear" w:color="auto" w:fill="A83573" w:themeFill="accent3" w:themeFillShade="BF"/>
      </w:tcPr>
    </w:tblStylePr>
    <w:tblStylePr w:type="band1Horz">
      <w:tblPr/>
      <w:tcPr>
        <w:tcBorders>
          <w:top w:val="nil"/>
          <w:left w:val="nil"/>
          <w:bottom w:val="nil"/>
          <w:right w:val="nil"/>
          <w:insideH w:val="nil"/>
          <w:insideV w:val="nil"/>
        </w:tcBorders>
        <w:shd w:val="clear" w:color="auto" w:fill="A83573" w:themeFill="accent3" w:themeFillShade="BF"/>
      </w:tcPr>
    </w:tblStylePr>
  </w:style>
  <w:style w:type="table" w:styleId="DarkList-Accent4">
    <w:name w:val="Dark List Accent 4"/>
    <w:basedOn w:val="TableNormal"/>
    <w:uiPriority w:val="70"/>
    <w:unhideWhenUsed/>
    <w:rsid w:val="00F978CE"/>
    <w:pPr>
      <w:spacing w:after="0" w:line="240" w:lineRule="auto"/>
    </w:pPr>
    <w:rPr>
      <w:color w:val="FFFFFF" w:themeColor="background1"/>
    </w:rPr>
    <w:tblPr>
      <w:tblStyleRowBandSize w:val="1"/>
      <w:tblStyleColBandSize w:val="1"/>
    </w:tblPr>
    <w:tcPr>
      <w:shd w:val="clear" w:color="auto" w:fill="80808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F3F"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5F5F"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5F5F" w:themeFill="accent4" w:themeFillShade="BF"/>
      </w:tcPr>
    </w:tblStylePr>
    <w:tblStylePr w:type="band1Vert">
      <w:tblPr/>
      <w:tcPr>
        <w:tcBorders>
          <w:top w:val="nil"/>
          <w:left w:val="nil"/>
          <w:bottom w:val="nil"/>
          <w:right w:val="nil"/>
          <w:insideH w:val="nil"/>
          <w:insideV w:val="nil"/>
        </w:tcBorders>
        <w:shd w:val="clear" w:color="auto" w:fill="5F5F5F" w:themeFill="accent4" w:themeFillShade="BF"/>
      </w:tcPr>
    </w:tblStylePr>
    <w:tblStylePr w:type="band1Horz">
      <w:tblPr/>
      <w:tcPr>
        <w:tcBorders>
          <w:top w:val="nil"/>
          <w:left w:val="nil"/>
          <w:bottom w:val="nil"/>
          <w:right w:val="nil"/>
          <w:insideH w:val="nil"/>
          <w:insideV w:val="nil"/>
        </w:tcBorders>
        <w:shd w:val="clear" w:color="auto" w:fill="5F5F5F" w:themeFill="accent4" w:themeFillShade="BF"/>
      </w:tcPr>
    </w:tblStylePr>
  </w:style>
  <w:style w:type="table" w:styleId="DarkList-Accent5">
    <w:name w:val="Dark List Accent 5"/>
    <w:basedOn w:val="TableNormal"/>
    <w:uiPriority w:val="70"/>
    <w:unhideWhenUsed/>
    <w:rsid w:val="00F978CE"/>
    <w:pPr>
      <w:spacing w:after="0" w:line="240" w:lineRule="auto"/>
    </w:pPr>
    <w:rPr>
      <w:color w:val="FFFFFF" w:themeColor="background1"/>
    </w:rPr>
    <w:tblPr>
      <w:tblStyleRowBandSize w:val="1"/>
      <w:tblStyleColBandSize w:val="1"/>
    </w:tblPr>
    <w:tcPr>
      <w:shd w:val="clear" w:color="auto" w:fill="96969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A4A4A"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707070"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707070" w:themeFill="accent5" w:themeFillShade="BF"/>
      </w:tcPr>
    </w:tblStylePr>
    <w:tblStylePr w:type="band1Vert">
      <w:tblPr/>
      <w:tcPr>
        <w:tcBorders>
          <w:top w:val="nil"/>
          <w:left w:val="nil"/>
          <w:bottom w:val="nil"/>
          <w:right w:val="nil"/>
          <w:insideH w:val="nil"/>
          <w:insideV w:val="nil"/>
        </w:tcBorders>
        <w:shd w:val="clear" w:color="auto" w:fill="707070" w:themeFill="accent5" w:themeFillShade="BF"/>
      </w:tcPr>
    </w:tblStylePr>
    <w:tblStylePr w:type="band1Horz">
      <w:tblPr/>
      <w:tcPr>
        <w:tcBorders>
          <w:top w:val="nil"/>
          <w:left w:val="nil"/>
          <w:bottom w:val="nil"/>
          <w:right w:val="nil"/>
          <w:insideH w:val="nil"/>
          <w:insideV w:val="nil"/>
        </w:tcBorders>
        <w:shd w:val="clear" w:color="auto" w:fill="707070" w:themeFill="accent5" w:themeFillShade="BF"/>
      </w:tcPr>
    </w:tblStylePr>
  </w:style>
  <w:style w:type="table" w:styleId="DarkList-Accent6">
    <w:name w:val="Dark List Accent 6"/>
    <w:basedOn w:val="TableNormal"/>
    <w:uiPriority w:val="70"/>
    <w:unhideWhenUsed/>
    <w:rsid w:val="00F978CE"/>
    <w:pPr>
      <w:spacing w:after="0" w:line="240" w:lineRule="auto"/>
    </w:pPr>
    <w:rPr>
      <w:color w:val="FFFFFF" w:themeColor="background1"/>
    </w:rPr>
    <w:tblPr>
      <w:tblStyleRowBandSize w:val="1"/>
      <w:tblStyleColBandSize w:val="1"/>
    </w:tblPr>
    <w:tcPr>
      <w:shd w:val="clear" w:color="auto" w:fill="C3C3C3"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16161"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929292"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929292" w:themeFill="accent6" w:themeFillShade="BF"/>
      </w:tcPr>
    </w:tblStylePr>
    <w:tblStylePr w:type="band1Vert">
      <w:tblPr/>
      <w:tcPr>
        <w:tcBorders>
          <w:top w:val="nil"/>
          <w:left w:val="nil"/>
          <w:bottom w:val="nil"/>
          <w:right w:val="nil"/>
          <w:insideH w:val="nil"/>
          <w:insideV w:val="nil"/>
        </w:tcBorders>
        <w:shd w:val="clear" w:color="auto" w:fill="929292" w:themeFill="accent6" w:themeFillShade="BF"/>
      </w:tcPr>
    </w:tblStylePr>
    <w:tblStylePr w:type="band1Horz">
      <w:tblPr/>
      <w:tcPr>
        <w:tcBorders>
          <w:top w:val="nil"/>
          <w:left w:val="nil"/>
          <w:bottom w:val="nil"/>
          <w:right w:val="nil"/>
          <w:insideH w:val="nil"/>
          <w:insideV w:val="nil"/>
        </w:tcBorders>
        <w:shd w:val="clear" w:color="auto" w:fill="929292" w:themeFill="accent6" w:themeFillShade="BF"/>
      </w:tcPr>
    </w:tblStylePr>
  </w:style>
  <w:style w:type="paragraph" w:styleId="Date">
    <w:name w:val="Date"/>
    <w:basedOn w:val="Normal"/>
    <w:next w:val="Normal"/>
    <w:uiPriority w:val="99"/>
    <w:unhideWhenUsed/>
    <w:rsid w:val="00F978CE"/>
  </w:style>
  <w:style w:type="paragraph" w:styleId="DocumentMap">
    <w:name w:val="Document Map"/>
    <w:basedOn w:val="Normal"/>
    <w:uiPriority w:val="99"/>
    <w:unhideWhenUsed/>
    <w:rsid w:val="00F978CE"/>
    <w:rPr>
      <w:rFonts w:ascii="Segoe UI" w:hAnsi="Segoe UI" w:cs="Segoe UI"/>
      <w:sz w:val="16"/>
      <w:szCs w:val="16"/>
    </w:rPr>
  </w:style>
  <w:style w:type="paragraph" w:styleId="E-mailSignature">
    <w:name w:val="E-mail Signature"/>
    <w:basedOn w:val="Normal"/>
    <w:uiPriority w:val="99"/>
    <w:unhideWhenUsed/>
    <w:rsid w:val="00F978CE"/>
  </w:style>
  <w:style w:type="character" w:styleId="Emphasis">
    <w:name w:val="Emphasis"/>
    <w:basedOn w:val="DefaultParagraphFont"/>
    <w:uiPriority w:val="99"/>
    <w:unhideWhenUsed/>
    <w:qFormat/>
    <w:rsid w:val="00F978CE"/>
    <w:rPr>
      <w:i/>
      <w:iCs/>
    </w:rPr>
  </w:style>
  <w:style w:type="character" w:styleId="EndnoteReference">
    <w:name w:val="endnote reference"/>
    <w:basedOn w:val="DefaultParagraphFont"/>
    <w:unhideWhenUsed/>
    <w:rsid w:val="00F978CE"/>
    <w:rPr>
      <w:vertAlign w:val="superscript"/>
    </w:rPr>
  </w:style>
  <w:style w:type="paragraph" w:styleId="EndnoteText">
    <w:name w:val="endnote text"/>
    <w:basedOn w:val="Normal"/>
    <w:unhideWhenUsed/>
    <w:rsid w:val="00F978CE"/>
    <w:rPr>
      <w:szCs w:val="20"/>
    </w:rPr>
  </w:style>
  <w:style w:type="paragraph" w:styleId="EnvelopeAddress">
    <w:name w:val="envelope address"/>
    <w:basedOn w:val="Normal"/>
    <w:uiPriority w:val="99"/>
    <w:unhideWhenUsed/>
    <w:rsid w:val="00F978CE"/>
    <w:pPr>
      <w:framePr w:w="7920" w:h="1980" w:hRule="exact" w:hSpace="180" w:wrap="auto" w:hAnchor="page" w:xAlign="center" w:yAlign="bottom"/>
      <w:ind w:left="2880"/>
    </w:pPr>
    <w:rPr>
      <w:rFonts w:asciiTheme="majorHAnsi" w:eastAsiaTheme="majorEastAsia" w:hAnsiTheme="majorHAnsi" w:cstheme="majorBidi"/>
      <w:sz w:val="24"/>
      <w:szCs w:val="24"/>
    </w:rPr>
  </w:style>
  <w:style w:type="paragraph" w:styleId="EnvelopeReturn">
    <w:name w:val="envelope return"/>
    <w:basedOn w:val="Normal"/>
    <w:uiPriority w:val="99"/>
    <w:unhideWhenUsed/>
    <w:rsid w:val="00F978CE"/>
    <w:rPr>
      <w:rFonts w:asciiTheme="majorHAnsi" w:eastAsiaTheme="majorEastAsia" w:hAnsiTheme="majorHAnsi" w:cstheme="majorBidi"/>
      <w:szCs w:val="20"/>
    </w:rPr>
  </w:style>
  <w:style w:type="character" w:styleId="FollowedHyperlink">
    <w:name w:val="FollowedHyperlink"/>
    <w:basedOn w:val="DefaultParagraphFont"/>
    <w:uiPriority w:val="99"/>
    <w:unhideWhenUsed/>
    <w:rsid w:val="00F978CE"/>
    <w:rPr>
      <w:color w:val="ECC4DA" w:themeColor="followedHyperlink"/>
      <w:u w:val="single"/>
    </w:rPr>
  </w:style>
  <w:style w:type="character" w:styleId="FootnoteReference">
    <w:name w:val="footnote reference"/>
    <w:basedOn w:val="DefaultParagraphFont"/>
    <w:unhideWhenUsed/>
    <w:rsid w:val="00F978CE"/>
    <w:rPr>
      <w:vertAlign w:val="superscript"/>
    </w:rPr>
  </w:style>
  <w:style w:type="table" w:styleId="GridTable1Light">
    <w:name w:val="Grid Table 1 Light"/>
    <w:basedOn w:val="TableNormal"/>
    <w:uiPriority w:val="46"/>
    <w:unhideWhenUsed/>
    <w:rsid w:val="00F978CE"/>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GridTable1Light-Accent2">
    <w:name w:val="Grid Table 1 Light Accent 2"/>
    <w:basedOn w:val="TableNormal"/>
    <w:uiPriority w:val="46"/>
    <w:unhideWhenUsed/>
    <w:rsid w:val="00F978CE"/>
    <w:pPr>
      <w:spacing w:after="0" w:line="240" w:lineRule="auto"/>
    </w:pPr>
    <w:tblPr>
      <w:tblStyleRowBandSize w:val="1"/>
      <w:tblStyleColBandSize w:val="1"/>
      <w:tblBorders>
        <w:top w:val="single" w:sz="4" w:space="0" w:color="E8AACB" w:themeColor="accent2" w:themeTint="66"/>
        <w:left w:val="single" w:sz="4" w:space="0" w:color="E8AACB" w:themeColor="accent2" w:themeTint="66"/>
        <w:bottom w:val="single" w:sz="4" w:space="0" w:color="E8AACB" w:themeColor="accent2" w:themeTint="66"/>
        <w:right w:val="single" w:sz="4" w:space="0" w:color="E8AACB" w:themeColor="accent2" w:themeTint="66"/>
        <w:insideH w:val="single" w:sz="4" w:space="0" w:color="E8AACB" w:themeColor="accent2" w:themeTint="66"/>
        <w:insideV w:val="single" w:sz="4" w:space="0" w:color="E8AACB" w:themeColor="accent2" w:themeTint="66"/>
      </w:tblBorders>
    </w:tblPr>
    <w:tblStylePr w:type="firstRow">
      <w:rPr>
        <w:b/>
        <w:bCs/>
      </w:rPr>
      <w:tblPr/>
      <w:tcPr>
        <w:tcBorders>
          <w:bottom w:val="single" w:sz="12" w:space="0" w:color="DD7FB2" w:themeColor="accent2" w:themeTint="99"/>
        </w:tcBorders>
      </w:tcPr>
    </w:tblStylePr>
    <w:tblStylePr w:type="lastRow">
      <w:rPr>
        <w:b/>
        <w:bCs/>
      </w:rPr>
      <w:tblPr/>
      <w:tcPr>
        <w:tcBorders>
          <w:top w:val="double" w:sz="2" w:space="0" w:color="DD7FB2" w:themeColor="accent2" w:themeTint="99"/>
        </w:tcBorders>
      </w:tcPr>
    </w:tblStylePr>
    <w:tblStylePr w:type="firstCol">
      <w:rPr>
        <w:b/>
        <w:bCs/>
      </w:rPr>
    </w:tblStylePr>
    <w:tblStylePr w:type="lastCol">
      <w:rPr>
        <w:b/>
        <w:bCs/>
      </w:rPr>
    </w:tblStylePr>
  </w:style>
  <w:style w:type="table" w:styleId="GridTable1Light-Accent3">
    <w:name w:val="Grid Table 1 Light Accent 3"/>
    <w:basedOn w:val="TableNormal"/>
    <w:uiPriority w:val="46"/>
    <w:unhideWhenUsed/>
    <w:rsid w:val="00F978CE"/>
    <w:pPr>
      <w:spacing w:after="0" w:line="240" w:lineRule="auto"/>
    </w:pPr>
    <w:tblPr>
      <w:tblStyleRowBandSize w:val="1"/>
      <w:tblStyleColBandSize w:val="1"/>
      <w:tblBorders>
        <w:top w:val="single" w:sz="4" w:space="0" w:color="EABDD6" w:themeColor="accent3" w:themeTint="66"/>
        <w:left w:val="single" w:sz="4" w:space="0" w:color="EABDD6" w:themeColor="accent3" w:themeTint="66"/>
        <w:bottom w:val="single" w:sz="4" w:space="0" w:color="EABDD6" w:themeColor="accent3" w:themeTint="66"/>
        <w:right w:val="single" w:sz="4" w:space="0" w:color="EABDD6" w:themeColor="accent3" w:themeTint="66"/>
        <w:insideH w:val="single" w:sz="4" w:space="0" w:color="EABDD6" w:themeColor="accent3" w:themeTint="66"/>
        <w:insideV w:val="single" w:sz="4" w:space="0" w:color="EABDD6" w:themeColor="accent3" w:themeTint="66"/>
      </w:tblBorders>
    </w:tblPr>
    <w:tblStylePr w:type="firstRow">
      <w:rPr>
        <w:b/>
        <w:bCs/>
      </w:rPr>
      <w:tblPr/>
      <w:tcPr>
        <w:tcBorders>
          <w:bottom w:val="single" w:sz="12" w:space="0" w:color="E09DC1" w:themeColor="accent3" w:themeTint="99"/>
        </w:tcBorders>
      </w:tcPr>
    </w:tblStylePr>
    <w:tblStylePr w:type="lastRow">
      <w:rPr>
        <w:b/>
        <w:bCs/>
      </w:rPr>
      <w:tblPr/>
      <w:tcPr>
        <w:tcBorders>
          <w:top w:val="double" w:sz="2" w:space="0" w:color="E09DC1" w:themeColor="accent3" w:themeTint="99"/>
        </w:tcBorders>
      </w:tcPr>
    </w:tblStylePr>
    <w:tblStylePr w:type="firstCol">
      <w:rPr>
        <w:b/>
        <w:bCs/>
      </w:rPr>
    </w:tblStylePr>
    <w:tblStylePr w:type="lastCol">
      <w:rPr>
        <w:b/>
        <w:bCs/>
      </w:rPr>
    </w:tblStylePr>
  </w:style>
  <w:style w:type="table" w:styleId="GridTable1Light-Accent4">
    <w:name w:val="Grid Table 1 Light Accent 4"/>
    <w:basedOn w:val="TableNormal"/>
    <w:uiPriority w:val="46"/>
    <w:unhideWhenUsed/>
    <w:rsid w:val="00F978CE"/>
    <w:pPr>
      <w:spacing w:after="0" w:line="240" w:lineRule="auto"/>
    </w:pPr>
    <w:tblPr>
      <w:tblStyleRowBandSize w:val="1"/>
      <w:tblStyleColBandSize w:val="1"/>
      <w:tblBorders>
        <w:top w:val="single" w:sz="4" w:space="0" w:color="CCCCCC" w:themeColor="accent4" w:themeTint="66"/>
        <w:left w:val="single" w:sz="4" w:space="0" w:color="CCCCCC" w:themeColor="accent4" w:themeTint="66"/>
        <w:bottom w:val="single" w:sz="4" w:space="0" w:color="CCCCCC" w:themeColor="accent4" w:themeTint="66"/>
        <w:right w:val="single" w:sz="4" w:space="0" w:color="CCCCCC" w:themeColor="accent4" w:themeTint="66"/>
        <w:insideH w:val="single" w:sz="4" w:space="0" w:color="CCCCCC" w:themeColor="accent4" w:themeTint="66"/>
        <w:insideV w:val="single" w:sz="4" w:space="0" w:color="CCCCCC" w:themeColor="accent4" w:themeTint="66"/>
      </w:tblBorders>
    </w:tblPr>
    <w:tblStylePr w:type="firstRow">
      <w:rPr>
        <w:b/>
        <w:bCs/>
      </w:rPr>
      <w:tblPr/>
      <w:tcPr>
        <w:tcBorders>
          <w:bottom w:val="single" w:sz="12" w:space="0" w:color="B2B2B2" w:themeColor="accent4" w:themeTint="99"/>
        </w:tcBorders>
      </w:tcPr>
    </w:tblStylePr>
    <w:tblStylePr w:type="lastRow">
      <w:rPr>
        <w:b/>
        <w:bCs/>
      </w:rPr>
      <w:tblPr/>
      <w:tcPr>
        <w:tcBorders>
          <w:top w:val="double" w:sz="2" w:space="0" w:color="B2B2B2" w:themeColor="accent4" w:themeTint="99"/>
        </w:tcBorders>
      </w:tcPr>
    </w:tblStylePr>
    <w:tblStylePr w:type="firstCol">
      <w:rPr>
        <w:b/>
        <w:bCs/>
      </w:rPr>
    </w:tblStylePr>
    <w:tblStylePr w:type="lastCol">
      <w:rPr>
        <w:b/>
        <w:bCs/>
      </w:rPr>
    </w:tblStylePr>
  </w:style>
  <w:style w:type="table" w:styleId="GridTable1Light-Accent5">
    <w:name w:val="Grid Table 1 Light Accent 5"/>
    <w:basedOn w:val="TableNormal"/>
    <w:uiPriority w:val="46"/>
    <w:unhideWhenUsed/>
    <w:rsid w:val="00F978CE"/>
    <w:pPr>
      <w:spacing w:after="0" w:line="240" w:lineRule="auto"/>
    </w:pPr>
    <w:tblPr>
      <w:tblStyleRowBandSize w:val="1"/>
      <w:tblStyleColBandSize w:val="1"/>
      <w:tblBorders>
        <w:top w:val="single" w:sz="4" w:space="0" w:color="D5D5D5" w:themeColor="accent5" w:themeTint="66"/>
        <w:left w:val="single" w:sz="4" w:space="0" w:color="D5D5D5" w:themeColor="accent5" w:themeTint="66"/>
        <w:bottom w:val="single" w:sz="4" w:space="0" w:color="D5D5D5" w:themeColor="accent5" w:themeTint="66"/>
        <w:right w:val="single" w:sz="4" w:space="0" w:color="D5D5D5" w:themeColor="accent5" w:themeTint="66"/>
        <w:insideH w:val="single" w:sz="4" w:space="0" w:color="D5D5D5" w:themeColor="accent5" w:themeTint="66"/>
        <w:insideV w:val="single" w:sz="4" w:space="0" w:color="D5D5D5" w:themeColor="accent5" w:themeTint="66"/>
      </w:tblBorders>
    </w:tblPr>
    <w:tblStylePr w:type="firstRow">
      <w:rPr>
        <w:b/>
        <w:bCs/>
      </w:rPr>
      <w:tblPr/>
      <w:tcPr>
        <w:tcBorders>
          <w:bottom w:val="single" w:sz="12" w:space="0" w:color="C0C0C0" w:themeColor="accent5" w:themeTint="99"/>
        </w:tcBorders>
      </w:tcPr>
    </w:tblStylePr>
    <w:tblStylePr w:type="lastRow">
      <w:rPr>
        <w:b/>
        <w:bCs/>
      </w:rPr>
      <w:tblPr/>
      <w:tcPr>
        <w:tcBorders>
          <w:top w:val="double" w:sz="2" w:space="0" w:color="C0C0C0" w:themeColor="accent5" w:themeTint="99"/>
        </w:tcBorders>
      </w:tcPr>
    </w:tblStylePr>
    <w:tblStylePr w:type="firstCol">
      <w:rPr>
        <w:b/>
        <w:bCs/>
      </w:rPr>
    </w:tblStylePr>
    <w:tblStylePr w:type="lastCol">
      <w:rPr>
        <w:b/>
        <w:bCs/>
      </w:rPr>
    </w:tblStylePr>
  </w:style>
  <w:style w:type="table" w:styleId="GridTable1Light-Accent6">
    <w:name w:val="Grid Table 1 Light Accent 6"/>
    <w:basedOn w:val="TableNormal"/>
    <w:uiPriority w:val="46"/>
    <w:unhideWhenUsed/>
    <w:rsid w:val="00F978CE"/>
    <w:pPr>
      <w:spacing w:after="0" w:line="240" w:lineRule="auto"/>
    </w:pPr>
    <w:tblPr>
      <w:tblStyleRowBandSize w:val="1"/>
      <w:tblStyleColBandSize w:val="1"/>
      <w:tblBorders>
        <w:top w:val="single" w:sz="4" w:space="0" w:color="E7E7E7" w:themeColor="accent6" w:themeTint="66"/>
        <w:left w:val="single" w:sz="4" w:space="0" w:color="E7E7E7" w:themeColor="accent6" w:themeTint="66"/>
        <w:bottom w:val="single" w:sz="4" w:space="0" w:color="E7E7E7" w:themeColor="accent6" w:themeTint="66"/>
        <w:right w:val="single" w:sz="4" w:space="0" w:color="E7E7E7" w:themeColor="accent6" w:themeTint="66"/>
        <w:insideH w:val="single" w:sz="4" w:space="0" w:color="E7E7E7" w:themeColor="accent6" w:themeTint="66"/>
        <w:insideV w:val="single" w:sz="4" w:space="0" w:color="E7E7E7" w:themeColor="accent6" w:themeTint="66"/>
      </w:tblBorders>
    </w:tblPr>
    <w:tblStylePr w:type="firstRow">
      <w:rPr>
        <w:b/>
        <w:bCs/>
      </w:rPr>
      <w:tblPr/>
      <w:tcPr>
        <w:tcBorders>
          <w:bottom w:val="single" w:sz="12" w:space="0" w:color="DBDBDB" w:themeColor="accent6" w:themeTint="99"/>
        </w:tcBorders>
      </w:tcPr>
    </w:tblStylePr>
    <w:tblStylePr w:type="lastRow">
      <w:rPr>
        <w:b/>
        <w:bCs/>
      </w:rPr>
      <w:tblPr/>
      <w:tcPr>
        <w:tcBorders>
          <w:top w:val="double" w:sz="2" w:space="0" w:color="DBDBDB" w:themeColor="accent6" w:themeTint="99"/>
        </w:tcBorders>
      </w:tcPr>
    </w:tblStylePr>
    <w:tblStylePr w:type="firstCol">
      <w:rPr>
        <w:b/>
        <w:bCs/>
      </w:rPr>
    </w:tblStylePr>
    <w:tblStylePr w:type="lastCol">
      <w:rPr>
        <w:b/>
        <w:bCs/>
      </w:rPr>
    </w:tblStylePr>
  </w:style>
  <w:style w:type="table" w:styleId="GridTable2">
    <w:name w:val="Grid Table 2"/>
    <w:basedOn w:val="TableNormal"/>
    <w:uiPriority w:val="47"/>
    <w:unhideWhenUsed/>
    <w:rsid w:val="00F978CE"/>
    <w:pPr>
      <w:spacing w:after="0" w:line="240" w:lineRule="auto"/>
    </w:p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2-Accent1">
    <w:name w:val="Grid Table 2 Accent 1"/>
    <w:basedOn w:val="TableNormal"/>
    <w:uiPriority w:val="47"/>
    <w:unhideWhenUsed/>
    <w:rsid w:val="00F978CE"/>
    <w:pPr>
      <w:spacing w:after="0" w:line="240" w:lineRule="auto"/>
    </w:pPr>
    <w:tblPr>
      <w:tblStyleRowBandSize w:val="1"/>
      <w:tblStyleColBandSize w:val="1"/>
      <w:tblBorders>
        <w:top w:val="single" w:sz="2" w:space="0" w:color="FF36A2" w:themeColor="accent1" w:themeTint="99"/>
        <w:bottom w:val="single" w:sz="2" w:space="0" w:color="FF36A2" w:themeColor="accent1" w:themeTint="99"/>
        <w:insideH w:val="single" w:sz="2" w:space="0" w:color="FF36A2" w:themeColor="accent1" w:themeTint="99"/>
        <w:insideV w:val="single" w:sz="2" w:space="0" w:color="FF36A2" w:themeColor="accent1" w:themeTint="99"/>
      </w:tblBorders>
    </w:tblPr>
    <w:tblStylePr w:type="firstRow">
      <w:rPr>
        <w:b/>
        <w:bCs/>
      </w:rPr>
      <w:tblPr/>
      <w:tcPr>
        <w:tcBorders>
          <w:top w:val="nil"/>
          <w:bottom w:val="single" w:sz="12" w:space="0" w:color="FF36A2" w:themeColor="accent1" w:themeTint="99"/>
          <w:insideH w:val="nil"/>
          <w:insideV w:val="nil"/>
        </w:tcBorders>
        <w:shd w:val="clear" w:color="auto" w:fill="FFFFFF" w:themeFill="background1"/>
      </w:tcPr>
    </w:tblStylePr>
    <w:tblStylePr w:type="lastRow">
      <w:rPr>
        <w:b/>
        <w:bCs/>
      </w:rPr>
      <w:tblPr/>
      <w:tcPr>
        <w:tcBorders>
          <w:top w:val="double" w:sz="2" w:space="0" w:color="FF36A2"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FBCE0" w:themeFill="accent1" w:themeFillTint="33"/>
      </w:tcPr>
    </w:tblStylePr>
    <w:tblStylePr w:type="band1Horz">
      <w:tblPr/>
      <w:tcPr>
        <w:shd w:val="clear" w:color="auto" w:fill="FFBCE0" w:themeFill="accent1" w:themeFillTint="33"/>
      </w:tcPr>
    </w:tblStylePr>
  </w:style>
  <w:style w:type="table" w:styleId="GridTable2-Accent2">
    <w:name w:val="Grid Table 2 Accent 2"/>
    <w:basedOn w:val="TableNormal"/>
    <w:uiPriority w:val="47"/>
    <w:unhideWhenUsed/>
    <w:rsid w:val="00F978CE"/>
    <w:pPr>
      <w:spacing w:after="0" w:line="240" w:lineRule="auto"/>
    </w:pPr>
    <w:tblPr>
      <w:tblStyleRowBandSize w:val="1"/>
      <w:tblStyleColBandSize w:val="1"/>
      <w:tblBorders>
        <w:top w:val="single" w:sz="2" w:space="0" w:color="DD7FB2" w:themeColor="accent2" w:themeTint="99"/>
        <w:bottom w:val="single" w:sz="2" w:space="0" w:color="DD7FB2" w:themeColor="accent2" w:themeTint="99"/>
        <w:insideH w:val="single" w:sz="2" w:space="0" w:color="DD7FB2" w:themeColor="accent2" w:themeTint="99"/>
        <w:insideV w:val="single" w:sz="2" w:space="0" w:color="DD7FB2" w:themeColor="accent2" w:themeTint="99"/>
      </w:tblBorders>
    </w:tblPr>
    <w:tblStylePr w:type="firstRow">
      <w:rPr>
        <w:b/>
        <w:bCs/>
      </w:rPr>
      <w:tblPr/>
      <w:tcPr>
        <w:tcBorders>
          <w:top w:val="nil"/>
          <w:bottom w:val="single" w:sz="12" w:space="0" w:color="DD7FB2" w:themeColor="accent2" w:themeTint="99"/>
          <w:insideH w:val="nil"/>
          <w:insideV w:val="nil"/>
        </w:tcBorders>
        <w:shd w:val="clear" w:color="auto" w:fill="FFFFFF" w:themeFill="background1"/>
      </w:tcPr>
    </w:tblStylePr>
    <w:tblStylePr w:type="lastRow">
      <w:rPr>
        <w:b/>
        <w:bCs/>
      </w:rPr>
      <w:tblPr/>
      <w:tcPr>
        <w:tcBorders>
          <w:top w:val="double" w:sz="2" w:space="0" w:color="DD7FB2"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3D4E5" w:themeFill="accent2" w:themeFillTint="33"/>
      </w:tcPr>
    </w:tblStylePr>
    <w:tblStylePr w:type="band1Horz">
      <w:tblPr/>
      <w:tcPr>
        <w:shd w:val="clear" w:color="auto" w:fill="F3D4E5" w:themeFill="accent2" w:themeFillTint="33"/>
      </w:tcPr>
    </w:tblStylePr>
  </w:style>
  <w:style w:type="table" w:styleId="GridTable2-Accent3">
    <w:name w:val="Grid Table 2 Accent 3"/>
    <w:basedOn w:val="TableNormal"/>
    <w:uiPriority w:val="47"/>
    <w:unhideWhenUsed/>
    <w:rsid w:val="00F978CE"/>
    <w:pPr>
      <w:spacing w:after="0" w:line="240" w:lineRule="auto"/>
    </w:pPr>
    <w:tblPr>
      <w:tblStyleRowBandSize w:val="1"/>
      <w:tblStyleColBandSize w:val="1"/>
      <w:tblBorders>
        <w:top w:val="single" w:sz="2" w:space="0" w:color="E09DC1" w:themeColor="accent3" w:themeTint="99"/>
        <w:bottom w:val="single" w:sz="2" w:space="0" w:color="E09DC1" w:themeColor="accent3" w:themeTint="99"/>
        <w:insideH w:val="single" w:sz="2" w:space="0" w:color="E09DC1" w:themeColor="accent3" w:themeTint="99"/>
        <w:insideV w:val="single" w:sz="2" w:space="0" w:color="E09DC1" w:themeColor="accent3" w:themeTint="99"/>
      </w:tblBorders>
    </w:tblPr>
    <w:tblStylePr w:type="firstRow">
      <w:rPr>
        <w:b/>
        <w:bCs/>
      </w:rPr>
      <w:tblPr/>
      <w:tcPr>
        <w:tcBorders>
          <w:top w:val="nil"/>
          <w:bottom w:val="single" w:sz="12" w:space="0" w:color="E09DC1" w:themeColor="accent3" w:themeTint="99"/>
          <w:insideH w:val="nil"/>
          <w:insideV w:val="nil"/>
        </w:tcBorders>
        <w:shd w:val="clear" w:color="auto" w:fill="FFFFFF" w:themeFill="background1"/>
      </w:tcPr>
    </w:tblStylePr>
    <w:tblStylePr w:type="lastRow">
      <w:rPr>
        <w:b/>
        <w:bCs/>
      </w:rPr>
      <w:tblPr/>
      <w:tcPr>
        <w:tcBorders>
          <w:top w:val="double" w:sz="2" w:space="0" w:color="E09DC1"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4DEEA" w:themeFill="accent3" w:themeFillTint="33"/>
      </w:tcPr>
    </w:tblStylePr>
    <w:tblStylePr w:type="band1Horz">
      <w:tblPr/>
      <w:tcPr>
        <w:shd w:val="clear" w:color="auto" w:fill="F4DEEA" w:themeFill="accent3" w:themeFillTint="33"/>
      </w:tcPr>
    </w:tblStylePr>
  </w:style>
  <w:style w:type="table" w:styleId="GridTable2-Accent4">
    <w:name w:val="Grid Table 2 Accent 4"/>
    <w:basedOn w:val="TableNormal"/>
    <w:uiPriority w:val="47"/>
    <w:unhideWhenUsed/>
    <w:rsid w:val="00F978CE"/>
    <w:pPr>
      <w:spacing w:after="0" w:line="240" w:lineRule="auto"/>
    </w:pPr>
    <w:tblPr>
      <w:tblStyleRowBandSize w:val="1"/>
      <w:tblStyleColBandSize w:val="1"/>
      <w:tblBorders>
        <w:top w:val="single" w:sz="2" w:space="0" w:color="B2B2B2" w:themeColor="accent4" w:themeTint="99"/>
        <w:bottom w:val="single" w:sz="2" w:space="0" w:color="B2B2B2" w:themeColor="accent4" w:themeTint="99"/>
        <w:insideH w:val="single" w:sz="2" w:space="0" w:color="B2B2B2" w:themeColor="accent4" w:themeTint="99"/>
        <w:insideV w:val="single" w:sz="2" w:space="0" w:color="B2B2B2" w:themeColor="accent4" w:themeTint="99"/>
      </w:tblBorders>
    </w:tblPr>
    <w:tblStylePr w:type="firstRow">
      <w:rPr>
        <w:b/>
        <w:bCs/>
      </w:rPr>
      <w:tblPr/>
      <w:tcPr>
        <w:tcBorders>
          <w:top w:val="nil"/>
          <w:bottom w:val="single" w:sz="12" w:space="0" w:color="B2B2B2" w:themeColor="accent4" w:themeTint="99"/>
          <w:insideH w:val="nil"/>
          <w:insideV w:val="nil"/>
        </w:tcBorders>
        <w:shd w:val="clear" w:color="auto" w:fill="FFFFFF" w:themeFill="background1"/>
      </w:tcPr>
    </w:tblStylePr>
    <w:tblStylePr w:type="lastRow">
      <w:rPr>
        <w:b/>
        <w:bCs/>
      </w:rPr>
      <w:tblPr/>
      <w:tcPr>
        <w:tcBorders>
          <w:top w:val="double" w:sz="2" w:space="0" w:color="B2B2B2" w:themeColor="accent4"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5E5E5" w:themeFill="accent4" w:themeFillTint="33"/>
      </w:tcPr>
    </w:tblStylePr>
    <w:tblStylePr w:type="band1Horz">
      <w:tblPr/>
      <w:tcPr>
        <w:shd w:val="clear" w:color="auto" w:fill="E5E5E5" w:themeFill="accent4" w:themeFillTint="33"/>
      </w:tcPr>
    </w:tblStylePr>
  </w:style>
  <w:style w:type="table" w:styleId="GridTable2-Accent5">
    <w:name w:val="Grid Table 2 Accent 5"/>
    <w:basedOn w:val="TableNormal"/>
    <w:uiPriority w:val="47"/>
    <w:unhideWhenUsed/>
    <w:rsid w:val="00F978CE"/>
    <w:pPr>
      <w:spacing w:after="0" w:line="240" w:lineRule="auto"/>
    </w:pPr>
    <w:tblPr>
      <w:tblStyleRowBandSize w:val="1"/>
      <w:tblStyleColBandSize w:val="1"/>
      <w:tblBorders>
        <w:top w:val="single" w:sz="2" w:space="0" w:color="C0C0C0" w:themeColor="accent5" w:themeTint="99"/>
        <w:bottom w:val="single" w:sz="2" w:space="0" w:color="C0C0C0" w:themeColor="accent5" w:themeTint="99"/>
        <w:insideH w:val="single" w:sz="2" w:space="0" w:color="C0C0C0" w:themeColor="accent5" w:themeTint="99"/>
        <w:insideV w:val="single" w:sz="2" w:space="0" w:color="C0C0C0" w:themeColor="accent5" w:themeTint="99"/>
      </w:tblBorders>
    </w:tblPr>
    <w:tblStylePr w:type="firstRow">
      <w:rPr>
        <w:b/>
        <w:bCs/>
      </w:rPr>
      <w:tblPr/>
      <w:tcPr>
        <w:tcBorders>
          <w:top w:val="nil"/>
          <w:bottom w:val="single" w:sz="12" w:space="0" w:color="C0C0C0" w:themeColor="accent5" w:themeTint="99"/>
          <w:insideH w:val="nil"/>
          <w:insideV w:val="nil"/>
        </w:tcBorders>
        <w:shd w:val="clear" w:color="auto" w:fill="FFFFFF" w:themeFill="background1"/>
      </w:tcPr>
    </w:tblStylePr>
    <w:tblStylePr w:type="lastRow">
      <w:rPr>
        <w:b/>
        <w:bCs/>
      </w:rPr>
      <w:tblPr/>
      <w:tcPr>
        <w:tcBorders>
          <w:top w:val="double" w:sz="2" w:space="0" w:color="C0C0C0"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AEAEA" w:themeFill="accent5" w:themeFillTint="33"/>
      </w:tcPr>
    </w:tblStylePr>
    <w:tblStylePr w:type="band1Horz">
      <w:tblPr/>
      <w:tcPr>
        <w:shd w:val="clear" w:color="auto" w:fill="EAEAEA" w:themeFill="accent5" w:themeFillTint="33"/>
      </w:tcPr>
    </w:tblStylePr>
  </w:style>
  <w:style w:type="table" w:styleId="GridTable2-Accent6">
    <w:name w:val="Grid Table 2 Accent 6"/>
    <w:basedOn w:val="TableNormal"/>
    <w:uiPriority w:val="47"/>
    <w:unhideWhenUsed/>
    <w:rsid w:val="00F978CE"/>
    <w:pPr>
      <w:spacing w:after="0" w:line="240" w:lineRule="auto"/>
    </w:pPr>
    <w:tblPr>
      <w:tblStyleRowBandSize w:val="1"/>
      <w:tblStyleColBandSize w:val="1"/>
      <w:tblBorders>
        <w:top w:val="single" w:sz="2" w:space="0" w:color="DBDBDB" w:themeColor="accent6" w:themeTint="99"/>
        <w:bottom w:val="single" w:sz="2" w:space="0" w:color="DBDBDB" w:themeColor="accent6" w:themeTint="99"/>
        <w:insideH w:val="single" w:sz="2" w:space="0" w:color="DBDBDB" w:themeColor="accent6" w:themeTint="99"/>
        <w:insideV w:val="single" w:sz="2" w:space="0" w:color="DBDBDB" w:themeColor="accent6" w:themeTint="99"/>
      </w:tblBorders>
    </w:tblPr>
    <w:tblStylePr w:type="firstRow">
      <w:rPr>
        <w:b/>
        <w:bCs/>
      </w:rPr>
      <w:tblPr/>
      <w:tcPr>
        <w:tcBorders>
          <w:top w:val="nil"/>
          <w:bottom w:val="single" w:sz="12" w:space="0" w:color="DBDBDB" w:themeColor="accent6" w:themeTint="99"/>
          <w:insideH w:val="nil"/>
          <w:insideV w:val="nil"/>
        </w:tcBorders>
        <w:shd w:val="clear" w:color="auto" w:fill="FFFFFF" w:themeFill="background1"/>
      </w:tcPr>
    </w:tblStylePr>
    <w:tblStylePr w:type="lastRow">
      <w:rPr>
        <w:b/>
        <w:bCs/>
      </w:rPr>
      <w:tblPr/>
      <w:tcPr>
        <w:tcBorders>
          <w:top w:val="double" w:sz="2" w:space="0" w:color="DBDBDB" w:themeColor="accent6"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3F3F3" w:themeFill="accent6" w:themeFillTint="33"/>
      </w:tcPr>
    </w:tblStylePr>
    <w:tblStylePr w:type="band1Horz">
      <w:tblPr/>
      <w:tcPr>
        <w:shd w:val="clear" w:color="auto" w:fill="F3F3F3" w:themeFill="accent6" w:themeFillTint="33"/>
      </w:tcPr>
    </w:tblStylePr>
  </w:style>
  <w:style w:type="table" w:styleId="GridTable3">
    <w:name w:val="Grid Table 3"/>
    <w:basedOn w:val="TableNormal"/>
    <w:uiPriority w:val="48"/>
    <w:unhideWhenUsed/>
    <w:rsid w:val="00F978CE"/>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GridTable3-Accent1">
    <w:name w:val="Grid Table 3 Accent 1"/>
    <w:basedOn w:val="TableNormal"/>
    <w:uiPriority w:val="48"/>
    <w:unhideWhenUsed/>
    <w:rsid w:val="00F978CE"/>
    <w:pPr>
      <w:spacing w:after="0" w:line="240" w:lineRule="auto"/>
    </w:pPr>
    <w:tblPr>
      <w:tblStyleRowBandSize w:val="1"/>
      <w:tblStyleColBandSize w:val="1"/>
      <w:tblBorders>
        <w:top w:val="single" w:sz="4" w:space="0" w:color="FF36A2" w:themeColor="accent1" w:themeTint="99"/>
        <w:left w:val="single" w:sz="4" w:space="0" w:color="FF36A2" w:themeColor="accent1" w:themeTint="99"/>
        <w:bottom w:val="single" w:sz="4" w:space="0" w:color="FF36A2" w:themeColor="accent1" w:themeTint="99"/>
        <w:right w:val="single" w:sz="4" w:space="0" w:color="FF36A2" w:themeColor="accent1" w:themeTint="99"/>
        <w:insideH w:val="single" w:sz="4" w:space="0" w:color="FF36A2" w:themeColor="accent1" w:themeTint="99"/>
        <w:insideV w:val="single" w:sz="4" w:space="0" w:color="FF36A2"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FBCE0" w:themeFill="accent1" w:themeFillTint="33"/>
      </w:tcPr>
    </w:tblStylePr>
    <w:tblStylePr w:type="band1Horz">
      <w:tblPr/>
      <w:tcPr>
        <w:shd w:val="clear" w:color="auto" w:fill="FFBCE0" w:themeFill="accent1" w:themeFillTint="33"/>
      </w:tcPr>
    </w:tblStylePr>
    <w:tblStylePr w:type="neCell">
      <w:tblPr/>
      <w:tcPr>
        <w:tcBorders>
          <w:bottom w:val="single" w:sz="4" w:space="0" w:color="FF36A2" w:themeColor="accent1" w:themeTint="99"/>
        </w:tcBorders>
      </w:tcPr>
    </w:tblStylePr>
    <w:tblStylePr w:type="nwCell">
      <w:tblPr/>
      <w:tcPr>
        <w:tcBorders>
          <w:bottom w:val="single" w:sz="4" w:space="0" w:color="FF36A2" w:themeColor="accent1" w:themeTint="99"/>
        </w:tcBorders>
      </w:tcPr>
    </w:tblStylePr>
    <w:tblStylePr w:type="seCell">
      <w:tblPr/>
      <w:tcPr>
        <w:tcBorders>
          <w:top w:val="single" w:sz="4" w:space="0" w:color="FF36A2" w:themeColor="accent1" w:themeTint="99"/>
        </w:tcBorders>
      </w:tcPr>
    </w:tblStylePr>
    <w:tblStylePr w:type="swCell">
      <w:tblPr/>
      <w:tcPr>
        <w:tcBorders>
          <w:top w:val="single" w:sz="4" w:space="0" w:color="FF36A2" w:themeColor="accent1" w:themeTint="99"/>
        </w:tcBorders>
      </w:tcPr>
    </w:tblStylePr>
  </w:style>
  <w:style w:type="table" w:styleId="GridTable3-Accent2">
    <w:name w:val="Grid Table 3 Accent 2"/>
    <w:basedOn w:val="TableNormal"/>
    <w:uiPriority w:val="48"/>
    <w:unhideWhenUsed/>
    <w:rsid w:val="00F978CE"/>
    <w:pPr>
      <w:spacing w:after="0" w:line="240" w:lineRule="auto"/>
    </w:pPr>
    <w:tblPr>
      <w:tblStyleRowBandSize w:val="1"/>
      <w:tblStyleColBandSize w:val="1"/>
      <w:tblBorders>
        <w:top w:val="single" w:sz="4" w:space="0" w:color="DD7FB2" w:themeColor="accent2" w:themeTint="99"/>
        <w:left w:val="single" w:sz="4" w:space="0" w:color="DD7FB2" w:themeColor="accent2" w:themeTint="99"/>
        <w:bottom w:val="single" w:sz="4" w:space="0" w:color="DD7FB2" w:themeColor="accent2" w:themeTint="99"/>
        <w:right w:val="single" w:sz="4" w:space="0" w:color="DD7FB2" w:themeColor="accent2" w:themeTint="99"/>
        <w:insideH w:val="single" w:sz="4" w:space="0" w:color="DD7FB2" w:themeColor="accent2" w:themeTint="99"/>
        <w:insideV w:val="single" w:sz="4" w:space="0" w:color="DD7FB2"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3D4E5" w:themeFill="accent2" w:themeFillTint="33"/>
      </w:tcPr>
    </w:tblStylePr>
    <w:tblStylePr w:type="band1Horz">
      <w:tblPr/>
      <w:tcPr>
        <w:shd w:val="clear" w:color="auto" w:fill="F3D4E5" w:themeFill="accent2" w:themeFillTint="33"/>
      </w:tcPr>
    </w:tblStylePr>
    <w:tblStylePr w:type="neCell">
      <w:tblPr/>
      <w:tcPr>
        <w:tcBorders>
          <w:bottom w:val="single" w:sz="4" w:space="0" w:color="DD7FB2" w:themeColor="accent2" w:themeTint="99"/>
        </w:tcBorders>
      </w:tcPr>
    </w:tblStylePr>
    <w:tblStylePr w:type="nwCell">
      <w:tblPr/>
      <w:tcPr>
        <w:tcBorders>
          <w:bottom w:val="single" w:sz="4" w:space="0" w:color="DD7FB2" w:themeColor="accent2" w:themeTint="99"/>
        </w:tcBorders>
      </w:tcPr>
    </w:tblStylePr>
    <w:tblStylePr w:type="seCell">
      <w:tblPr/>
      <w:tcPr>
        <w:tcBorders>
          <w:top w:val="single" w:sz="4" w:space="0" w:color="DD7FB2" w:themeColor="accent2" w:themeTint="99"/>
        </w:tcBorders>
      </w:tcPr>
    </w:tblStylePr>
    <w:tblStylePr w:type="swCell">
      <w:tblPr/>
      <w:tcPr>
        <w:tcBorders>
          <w:top w:val="single" w:sz="4" w:space="0" w:color="DD7FB2" w:themeColor="accent2" w:themeTint="99"/>
        </w:tcBorders>
      </w:tcPr>
    </w:tblStylePr>
  </w:style>
  <w:style w:type="table" w:styleId="GridTable3-Accent3">
    <w:name w:val="Grid Table 3 Accent 3"/>
    <w:basedOn w:val="TableNormal"/>
    <w:uiPriority w:val="48"/>
    <w:unhideWhenUsed/>
    <w:rsid w:val="00F978CE"/>
    <w:pPr>
      <w:spacing w:after="0" w:line="240" w:lineRule="auto"/>
    </w:pPr>
    <w:tblPr>
      <w:tblStyleRowBandSize w:val="1"/>
      <w:tblStyleColBandSize w:val="1"/>
      <w:tblBorders>
        <w:top w:val="single" w:sz="4" w:space="0" w:color="E09DC1" w:themeColor="accent3" w:themeTint="99"/>
        <w:left w:val="single" w:sz="4" w:space="0" w:color="E09DC1" w:themeColor="accent3" w:themeTint="99"/>
        <w:bottom w:val="single" w:sz="4" w:space="0" w:color="E09DC1" w:themeColor="accent3" w:themeTint="99"/>
        <w:right w:val="single" w:sz="4" w:space="0" w:color="E09DC1" w:themeColor="accent3" w:themeTint="99"/>
        <w:insideH w:val="single" w:sz="4" w:space="0" w:color="E09DC1" w:themeColor="accent3" w:themeTint="99"/>
        <w:insideV w:val="single" w:sz="4" w:space="0" w:color="E09DC1"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4DEEA" w:themeFill="accent3" w:themeFillTint="33"/>
      </w:tcPr>
    </w:tblStylePr>
    <w:tblStylePr w:type="band1Horz">
      <w:tblPr/>
      <w:tcPr>
        <w:shd w:val="clear" w:color="auto" w:fill="F4DEEA" w:themeFill="accent3" w:themeFillTint="33"/>
      </w:tcPr>
    </w:tblStylePr>
    <w:tblStylePr w:type="neCell">
      <w:tblPr/>
      <w:tcPr>
        <w:tcBorders>
          <w:bottom w:val="single" w:sz="4" w:space="0" w:color="E09DC1" w:themeColor="accent3" w:themeTint="99"/>
        </w:tcBorders>
      </w:tcPr>
    </w:tblStylePr>
    <w:tblStylePr w:type="nwCell">
      <w:tblPr/>
      <w:tcPr>
        <w:tcBorders>
          <w:bottom w:val="single" w:sz="4" w:space="0" w:color="E09DC1" w:themeColor="accent3" w:themeTint="99"/>
        </w:tcBorders>
      </w:tcPr>
    </w:tblStylePr>
    <w:tblStylePr w:type="seCell">
      <w:tblPr/>
      <w:tcPr>
        <w:tcBorders>
          <w:top w:val="single" w:sz="4" w:space="0" w:color="E09DC1" w:themeColor="accent3" w:themeTint="99"/>
        </w:tcBorders>
      </w:tcPr>
    </w:tblStylePr>
    <w:tblStylePr w:type="swCell">
      <w:tblPr/>
      <w:tcPr>
        <w:tcBorders>
          <w:top w:val="single" w:sz="4" w:space="0" w:color="E09DC1" w:themeColor="accent3" w:themeTint="99"/>
        </w:tcBorders>
      </w:tcPr>
    </w:tblStylePr>
  </w:style>
  <w:style w:type="table" w:styleId="GridTable3-Accent4">
    <w:name w:val="Grid Table 3 Accent 4"/>
    <w:basedOn w:val="TableNormal"/>
    <w:uiPriority w:val="48"/>
    <w:unhideWhenUsed/>
    <w:rsid w:val="00F978CE"/>
    <w:pPr>
      <w:spacing w:after="0" w:line="240" w:lineRule="auto"/>
    </w:pPr>
    <w:tblPr>
      <w:tblStyleRowBandSize w:val="1"/>
      <w:tblStyleColBandSize w:val="1"/>
      <w:tblBorders>
        <w:top w:val="single" w:sz="4" w:space="0" w:color="B2B2B2" w:themeColor="accent4" w:themeTint="99"/>
        <w:left w:val="single" w:sz="4" w:space="0" w:color="B2B2B2" w:themeColor="accent4" w:themeTint="99"/>
        <w:bottom w:val="single" w:sz="4" w:space="0" w:color="B2B2B2" w:themeColor="accent4" w:themeTint="99"/>
        <w:right w:val="single" w:sz="4" w:space="0" w:color="B2B2B2" w:themeColor="accent4" w:themeTint="99"/>
        <w:insideH w:val="single" w:sz="4" w:space="0" w:color="B2B2B2" w:themeColor="accent4" w:themeTint="99"/>
        <w:insideV w:val="single" w:sz="4" w:space="0" w:color="B2B2B2"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5E5E5" w:themeFill="accent4" w:themeFillTint="33"/>
      </w:tcPr>
    </w:tblStylePr>
    <w:tblStylePr w:type="band1Horz">
      <w:tblPr/>
      <w:tcPr>
        <w:shd w:val="clear" w:color="auto" w:fill="E5E5E5" w:themeFill="accent4" w:themeFillTint="33"/>
      </w:tcPr>
    </w:tblStylePr>
    <w:tblStylePr w:type="neCell">
      <w:tblPr/>
      <w:tcPr>
        <w:tcBorders>
          <w:bottom w:val="single" w:sz="4" w:space="0" w:color="B2B2B2" w:themeColor="accent4" w:themeTint="99"/>
        </w:tcBorders>
      </w:tcPr>
    </w:tblStylePr>
    <w:tblStylePr w:type="nwCell">
      <w:tblPr/>
      <w:tcPr>
        <w:tcBorders>
          <w:bottom w:val="single" w:sz="4" w:space="0" w:color="B2B2B2" w:themeColor="accent4" w:themeTint="99"/>
        </w:tcBorders>
      </w:tcPr>
    </w:tblStylePr>
    <w:tblStylePr w:type="seCell">
      <w:tblPr/>
      <w:tcPr>
        <w:tcBorders>
          <w:top w:val="single" w:sz="4" w:space="0" w:color="B2B2B2" w:themeColor="accent4" w:themeTint="99"/>
        </w:tcBorders>
      </w:tcPr>
    </w:tblStylePr>
    <w:tblStylePr w:type="swCell">
      <w:tblPr/>
      <w:tcPr>
        <w:tcBorders>
          <w:top w:val="single" w:sz="4" w:space="0" w:color="B2B2B2" w:themeColor="accent4" w:themeTint="99"/>
        </w:tcBorders>
      </w:tcPr>
    </w:tblStylePr>
  </w:style>
  <w:style w:type="table" w:styleId="GridTable3-Accent5">
    <w:name w:val="Grid Table 3 Accent 5"/>
    <w:basedOn w:val="TableNormal"/>
    <w:uiPriority w:val="48"/>
    <w:unhideWhenUsed/>
    <w:rsid w:val="00F978CE"/>
    <w:pPr>
      <w:spacing w:after="0" w:line="240" w:lineRule="auto"/>
    </w:pPr>
    <w:tblPr>
      <w:tblStyleRowBandSize w:val="1"/>
      <w:tblStyleColBandSize w:val="1"/>
      <w:tblBorders>
        <w:top w:val="single" w:sz="4" w:space="0" w:color="C0C0C0" w:themeColor="accent5" w:themeTint="99"/>
        <w:left w:val="single" w:sz="4" w:space="0" w:color="C0C0C0" w:themeColor="accent5" w:themeTint="99"/>
        <w:bottom w:val="single" w:sz="4" w:space="0" w:color="C0C0C0" w:themeColor="accent5" w:themeTint="99"/>
        <w:right w:val="single" w:sz="4" w:space="0" w:color="C0C0C0" w:themeColor="accent5" w:themeTint="99"/>
        <w:insideH w:val="single" w:sz="4" w:space="0" w:color="C0C0C0" w:themeColor="accent5" w:themeTint="99"/>
        <w:insideV w:val="single" w:sz="4" w:space="0" w:color="C0C0C0"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AEAEA" w:themeFill="accent5" w:themeFillTint="33"/>
      </w:tcPr>
    </w:tblStylePr>
    <w:tblStylePr w:type="band1Horz">
      <w:tblPr/>
      <w:tcPr>
        <w:shd w:val="clear" w:color="auto" w:fill="EAEAEA" w:themeFill="accent5" w:themeFillTint="33"/>
      </w:tcPr>
    </w:tblStylePr>
    <w:tblStylePr w:type="neCell">
      <w:tblPr/>
      <w:tcPr>
        <w:tcBorders>
          <w:bottom w:val="single" w:sz="4" w:space="0" w:color="C0C0C0" w:themeColor="accent5" w:themeTint="99"/>
        </w:tcBorders>
      </w:tcPr>
    </w:tblStylePr>
    <w:tblStylePr w:type="nwCell">
      <w:tblPr/>
      <w:tcPr>
        <w:tcBorders>
          <w:bottom w:val="single" w:sz="4" w:space="0" w:color="C0C0C0" w:themeColor="accent5" w:themeTint="99"/>
        </w:tcBorders>
      </w:tcPr>
    </w:tblStylePr>
    <w:tblStylePr w:type="seCell">
      <w:tblPr/>
      <w:tcPr>
        <w:tcBorders>
          <w:top w:val="single" w:sz="4" w:space="0" w:color="C0C0C0" w:themeColor="accent5" w:themeTint="99"/>
        </w:tcBorders>
      </w:tcPr>
    </w:tblStylePr>
    <w:tblStylePr w:type="swCell">
      <w:tblPr/>
      <w:tcPr>
        <w:tcBorders>
          <w:top w:val="single" w:sz="4" w:space="0" w:color="C0C0C0" w:themeColor="accent5" w:themeTint="99"/>
        </w:tcBorders>
      </w:tcPr>
    </w:tblStylePr>
  </w:style>
  <w:style w:type="table" w:styleId="GridTable3-Accent6">
    <w:name w:val="Grid Table 3 Accent 6"/>
    <w:basedOn w:val="TableNormal"/>
    <w:uiPriority w:val="48"/>
    <w:unhideWhenUsed/>
    <w:rsid w:val="00F978CE"/>
    <w:pPr>
      <w:spacing w:after="0" w:line="240" w:lineRule="auto"/>
    </w:pPr>
    <w:tblPr>
      <w:tblStyleRowBandSize w:val="1"/>
      <w:tblStyleColBandSize w:val="1"/>
      <w:tblBorders>
        <w:top w:val="single" w:sz="4" w:space="0" w:color="DBDBDB" w:themeColor="accent6" w:themeTint="99"/>
        <w:left w:val="single" w:sz="4" w:space="0" w:color="DBDBDB" w:themeColor="accent6" w:themeTint="99"/>
        <w:bottom w:val="single" w:sz="4" w:space="0" w:color="DBDBDB" w:themeColor="accent6" w:themeTint="99"/>
        <w:right w:val="single" w:sz="4" w:space="0" w:color="DBDBDB" w:themeColor="accent6" w:themeTint="99"/>
        <w:insideH w:val="single" w:sz="4" w:space="0" w:color="DBDBDB" w:themeColor="accent6" w:themeTint="99"/>
        <w:insideV w:val="single" w:sz="4" w:space="0" w:color="DBDBDB"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3F3F3" w:themeFill="accent6" w:themeFillTint="33"/>
      </w:tcPr>
    </w:tblStylePr>
    <w:tblStylePr w:type="band1Horz">
      <w:tblPr/>
      <w:tcPr>
        <w:shd w:val="clear" w:color="auto" w:fill="F3F3F3" w:themeFill="accent6" w:themeFillTint="33"/>
      </w:tcPr>
    </w:tblStylePr>
    <w:tblStylePr w:type="neCell">
      <w:tblPr/>
      <w:tcPr>
        <w:tcBorders>
          <w:bottom w:val="single" w:sz="4" w:space="0" w:color="DBDBDB" w:themeColor="accent6" w:themeTint="99"/>
        </w:tcBorders>
      </w:tcPr>
    </w:tblStylePr>
    <w:tblStylePr w:type="nwCell">
      <w:tblPr/>
      <w:tcPr>
        <w:tcBorders>
          <w:bottom w:val="single" w:sz="4" w:space="0" w:color="DBDBDB" w:themeColor="accent6" w:themeTint="99"/>
        </w:tcBorders>
      </w:tcPr>
    </w:tblStylePr>
    <w:tblStylePr w:type="seCell">
      <w:tblPr/>
      <w:tcPr>
        <w:tcBorders>
          <w:top w:val="single" w:sz="4" w:space="0" w:color="DBDBDB" w:themeColor="accent6" w:themeTint="99"/>
        </w:tcBorders>
      </w:tcPr>
    </w:tblStylePr>
    <w:tblStylePr w:type="swCell">
      <w:tblPr/>
      <w:tcPr>
        <w:tcBorders>
          <w:top w:val="single" w:sz="4" w:space="0" w:color="DBDBDB" w:themeColor="accent6" w:themeTint="99"/>
        </w:tcBorders>
      </w:tcPr>
    </w:tblStylePr>
  </w:style>
  <w:style w:type="table" w:styleId="GridTable4">
    <w:name w:val="Grid Table 4"/>
    <w:basedOn w:val="TableNormal"/>
    <w:uiPriority w:val="49"/>
    <w:unhideWhenUsed/>
    <w:rsid w:val="00F978CE"/>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4-Accent1">
    <w:name w:val="Grid Table 4 Accent 1"/>
    <w:basedOn w:val="TableNormal"/>
    <w:uiPriority w:val="49"/>
    <w:unhideWhenUsed/>
    <w:rsid w:val="00F978CE"/>
    <w:pPr>
      <w:spacing w:after="0" w:line="240" w:lineRule="auto"/>
    </w:pPr>
    <w:tblPr>
      <w:tblStyleRowBandSize w:val="1"/>
      <w:tblStyleColBandSize w:val="1"/>
      <w:tblBorders>
        <w:top w:val="single" w:sz="4" w:space="0" w:color="FF36A2" w:themeColor="accent1" w:themeTint="99"/>
        <w:left w:val="single" w:sz="4" w:space="0" w:color="FF36A2" w:themeColor="accent1" w:themeTint="99"/>
        <w:bottom w:val="single" w:sz="4" w:space="0" w:color="FF36A2" w:themeColor="accent1" w:themeTint="99"/>
        <w:right w:val="single" w:sz="4" w:space="0" w:color="FF36A2" w:themeColor="accent1" w:themeTint="99"/>
        <w:insideH w:val="single" w:sz="4" w:space="0" w:color="FF36A2" w:themeColor="accent1" w:themeTint="99"/>
        <w:insideV w:val="single" w:sz="4" w:space="0" w:color="FF36A2" w:themeColor="accent1" w:themeTint="99"/>
      </w:tblBorders>
    </w:tblPr>
    <w:tblStylePr w:type="firstRow">
      <w:rPr>
        <w:b/>
        <w:bCs/>
        <w:color w:val="FFFFFF" w:themeColor="background1"/>
      </w:rPr>
      <w:tblPr/>
      <w:tcPr>
        <w:tcBorders>
          <w:top w:val="single" w:sz="4" w:space="0" w:color="AF005F" w:themeColor="accent1"/>
          <w:left w:val="single" w:sz="4" w:space="0" w:color="AF005F" w:themeColor="accent1"/>
          <w:bottom w:val="single" w:sz="4" w:space="0" w:color="AF005F" w:themeColor="accent1"/>
          <w:right w:val="single" w:sz="4" w:space="0" w:color="AF005F" w:themeColor="accent1"/>
          <w:insideH w:val="nil"/>
          <w:insideV w:val="nil"/>
        </w:tcBorders>
        <w:shd w:val="clear" w:color="auto" w:fill="AF005F" w:themeFill="accent1"/>
      </w:tcPr>
    </w:tblStylePr>
    <w:tblStylePr w:type="lastRow">
      <w:rPr>
        <w:b/>
        <w:bCs/>
      </w:rPr>
      <w:tblPr/>
      <w:tcPr>
        <w:tcBorders>
          <w:top w:val="double" w:sz="4" w:space="0" w:color="AF005F" w:themeColor="accent1"/>
        </w:tcBorders>
      </w:tcPr>
    </w:tblStylePr>
    <w:tblStylePr w:type="firstCol">
      <w:rPr>
        <w:b/>
        <w:bCs/>
      </w:rPr>
    </w:tblStylePr>
    <w:tblStylePr w:type="lastCol">
      <w:rPr>
        <w:b/>
        <w:bCs/>
      </w:rPr>
    </w:tblStylePr>
    <w:tblStylePr w:type="band1Vert">
      <w:tblPr/>
      <w:tcPr>
        <w:shd w:val="clear" w:color="auto" w:fill="FFBCE0" w:themeFill="accent1" w:themeFillTint="33"/>
      </w:tcPr>
    </w:tblStylePr>
    <w:tblStylePr w:type="band1Horz">
      <w:tblPr/>
      <w:tcPr>
        <w:shd w:val="clear" w:color="auto" w:fill="FFBCE0" w:themeFill="accent1" w:themeFillTint="33"/>
      </w:tcPr>
    </w:tblStylePr>
  </w:style>
  <w:style w:type="table" w:styleId="GridTable4-Accent2">
    <w:name w:val="Grid Table 4 Accent 2"/>
    <w:basedOn w:val="TableNormal"/>
    <w:uiPriority w:val="49"/>
    <w:unhideWhenUsed/>
    <w:rsid w:val="00F978CE"/>
    <w:pPr>
      <w:spacing w:after="0" w:line="240" w:lineRule="auto"/>
    </w:pPr>
    <w:tblPr>
      <w:tblStyleRowBandSize w:val="1"/>
      <w:tblStyleColBandSize w:val="1"/>
      <w:tblBorders>
        <w:top w:val="single" w:sz="4" w:space="0" w:color="DD7FB2" w:themeColor="accent2" w:themeTint="99"/>
        <w:left w:val="single" w:sz="4" w:space="0" w:color="DD7FB2" w:themeColor="accent2" w:themeTint="99"/>
        <w:bottom w:val="single" w:sz="4" w:space="0" w:color="DD7FB2" w:themeColor="accent2" w:themeTint="99"/>
        <w:right w:val="single" w:sz="4" w:space="0" w:color="DD7FB2" w:themeColor="accent2" w:themeTint="99"/>
        <w:insideH w:val="single" w:sz="4" w:space="0" w:color="DD7FB2" w:themeColor="accent2" w:themeTint="99"/>
        <w:insideV w:val="single" w:sz="4" w:space="0" w:color="DD7FB2" w:themeColor="accent2" w:themeTint="99"/>
      </w:tblBorders>
    </w:tblPr>
    <w:tblStylePr w:type="firstRow">
      <w:rPr>
        <w:b/>
        <w:bCs/>
        <w:color w:val="FFFFFF" w:themeColor="background1"/>
      </w:rPr>
      <w:tblPr/>
      <w:tcPr>
        <w:tcBorders>
          <w:top w:val="single" w:sz="4" w:space="0" w:color="BF337F" w:themeColor="accent2"/>
          <w:left w:val="single" w:sz="4" w:space="0" w:color="BF337F" w:themeColor="accent2"/>
          <w:bottom w:val="single" w:sz="4" w:space="0" w:color="BF337F" w:themeColor="accent2"/>
          <w:right w:val="single" w:sz="4" w:space="0" w:color="BF337F" w:themeColor="accent2"/>
          <w:insideH w:val="nil"/>
          <w:insideV w:val="nil"/>
        </w:tcBorders>
        <w:shd w:val="clear" w:color="auto" w:fill="BF337F" w:themeFill="accent2"/>
      </w:tcPr>
    </w:tblStylePr>
    <w:tblStylePr w:type="lastRow">
      <w:rPr>
        <w:b/>
        <w:bCs/>
      </w:rPr>
      <w:tblPr/>
      <w:tcPr>
        <w:tcBorders>
          <w:top w:val="double" w:sz="4" w:space="0" w:color="BF337F" w:themeColor="accent2"/>
        </w:tcBorders>
      </w:tcPr>
    </w:tblStylePr>
    <w:tblStylePr w:type="firstCol">
      <w:rPr>
        <w:b/>
        <w:bCs/>
      </w:rPr>
    </w:tblStylePr>
    <w:tblStylePr w:type="lastCol">
      <w:rPr>
        <w:b/>
        <w:bCs/>
      </w:rPr>
    </w:tblStylePr>
    <w:tblStylePr w:type="band1Vert">
      <w:tblPr/>
      <w:tcPr>
        <w:shd w:val="clear" w:color="auto" w:fill="F3D4E5" w:themeFill="accent2" w:themeFillTint="33"/>
      </w:tcPr>
    </w:tblStylePr>
    <w:tblStylePr w:type="band1Horz">
      <w:tblPr/>
      <w:tcPr>
        <w:shd w:val="clear" w:color="auto" w:fill="F3D4E5" w:themeFill="accent2" w:themeFillTint="33"/>
      </w:tcPr>
    </w:tblStylePr>
  </w:style>
  <w:style w:type="table" w:styleId="GridTable4-Accent3">
    <w:name w:val="Grid Table 4 Accent 3"/>
    <w:basedOn w:val="TableNormal"/>
    <w:uiPriority w:val="49"/>
    <w:unhideWhenUsed/>
    <w:rsid w:val="00F978CE"/>
    <w:pPr>
      <w:spacing w:after="0" w:line="240" w:lineRule="auto"/>
    </w:pPr>
    <w:tblPr>
      <w:tblStyleRowBandSize w:val="1"/>
      <w:tblStyleColBandSize w:val="1"/>
      <w:tblBorders>
        <w:top w:val="single" w:sz="4" w:space="0" w:color="E09DC1" w:themeColor="accent3" w:themeTint="99"/>
        <w:left w:val="single" w:sz="4" w:space="0" w:color="E09DC1" w:themeColor="accent3" w:themeTint="99"/>
        <w:bottom w:val="single" w:sz="4" w:space="0" w:color="E09DC1" w:themeColor="accent3" w:themeTint="99"/>
        <w:right w:val="single" w:sz="4" w:space="0" w:color="E09DC1" w:themeColor="accent3" w:themeTint="99"/>
        <w:insideH w:val="single" w:sz="4" w:space="0" w:color="E09DC1" w:themeColor="accent3" w:themeTint="99"/>
        <w:insideV w:val="single" w:sz="4" w:space="0" w:color="E09DC1" w:themeColor="accent3" w:themeTint="99"/>
      </w:tblBorders>
    </w:tblPr>
    <w:tblStylePr w:type="firstRow">
      <w:rPr>
        <w:b/>
        <w:bCs/>
        <w:color w:val="FFFFFF" w:themeColor="background1"/>
      </w:rPr>
      <w:tblPr/>
      <w:tcPr>
        <w:tcBorders>
          <w:top w:val="single" w:sz="4" w:space="0" w:color="CC5C99" w:themeColor="accent3"/>
          <w:left w:val="single" w:sz="4" w:space="0" w:color="CC5C99" w:themeColor="accent3"/>
          <w:bottom w:val="single" w:sz="4" w:space="0" w:color="CC5C99" w:themeColor="accent3"/>
          <w:right w:val="single" w:sz="4" w:space="0" w:color="CC5C99" w:themeColor="accent3"/>
          <w:insideH w:val="nil"/>
          <w:insideV w:val="nil"/>
        </w:tcBorders>
        <w:shd w:val="clear" w:color="auto" w:fill="CC5C99" w:themeFill="accent3"/>
      </w:tcPr>
    </w:tblStylePr>
    <w:tblStylePr w:type="lastRow">
      <w:rPr>
        <w:b/>
        <w:bCs/>
      </w:rPr>
      <w:tblPr/>
      <w:tcPr>
        <w:tcBorders>
          <w:top w:val="double" w:sz="4" w:space="0" w:color="CC5C99" w:themeColor="accent3"/>
        </w:tcBorders>
      </w:tcPr>
    </w:tblStylePr>
    <w:tblStylePr w:type="firstCol">
      <w:rPr>
        <w:b/>
        <w:bCs/>
      </w:rPr>
    </w:tblStylePr>
    <w:tblStylePr w:type="lastCol">
      <w:rPr>
        <w:b/>
        <w:bCs/>
      </w:rPr>
    </w:tblStylePr>
    <w:tblStylePr w:type="band1Vert">
      <w:tblPr/>
      <w:tcPr>
        <w:shd w:val="clear" w:color="auto" w:fill="F4DEEA" w:themeFill="accent3" w:themeFillTint="33"/>
      </w:tcPr>
    </w:tblStylePr>
    <w:tblStylePr w:type="band1Horz">
      <w:tblPr/>
      <w:tcPr>
        <w:shd w:val="clear" w:color="auto" w:fill="F4DEEA" w:themeFill="accent3" w:themeFillTint="33"/>
      </w:tcPr>
    </w:tblStylePr>
  </w:style>
  <w:style w:type="table" w:styleId="GridTable4-Accent4">
    <w:name w:val="Grid Table 4 Accent 4"/>
    <w:basedOn w:val="TableNormal"/>
    <w:uiPriority w:val="49"/>
    <w:unhideWhenUsed/>
    <w:rsid w:val="00F978CE"/>
    <w:pPr>
      <w:spacing w:after="0" w:line="240" w:lineRule="auto"/>
    </w:pPr>
    <w:tblPr>
      <w:tblStyleRowBandSize w:val="1"/>
      <w:tblStyleColBandSize w:val="1"/>
      <w:tblBorders>
        <w:top w:val="single" w:sz="4" w:space="0" w:color="B2B2B2" w:themeColor="accent4" w:themeTint="99"/>
        <w:left w:val="single" w:sz="4" w:space="0" w:color="B2B2B2" w:themeColor="accent4" w:themeTint="99"/>
        <w:bottom w:val="single" w:sz="4" w:space="0" w:color="B2B2B2" w:themeColor="accent4" w:themeTint="99"/>
        <w:right w:val="single" w:sz="4" w:space="0" w:color="B2B2B2" w:themeColor="accent4" w:themeTint="99"/>
        <w:insideH w:val="single" w:sz="4" w:space="0" w:color="B2B2B2" w:themeColor="accent4" w:themeTint="99"/>
        <w:insideV w:val="single" w:sz="4" w:space="0" w:color="B2B2B2" w:themeColor="accent4" w:themeTint="99"/>
      </w:tblBorders>
    </w:tblPr>
    <w:tblStylePr w:type="firstRow">
      <w:rPr>
        <w:b/>
        <w:bCs/>
        <w:color w:val="FFFFFF" w:themeColor="background1"/>
      </w:rPr>
      <w:tblPr/>
      <w:tcPr>
        <w:tcBorders>
          <w:top w:val="single" w:sz="4" w:space="0" w:color="808080" w:themeColor="accent4"/>
          <w:left w:val="single" w:sz="4" w:space="0" w:color="808080" w:themeColor="accent4"/>
          <w:bottom w:val="single" w:sz="4" w:space="0" w:color="808080" w:themeColor="accent4"/>
          <w:right w:val="single" w:sz="4" w:space="0" w:color="808080" w:themeColor="accent4"/>
          <w:insideH w:val="nil"/>
          <w:insideV w:val="nil"/>
        </w:tcBorders>
        <w:shd w:val="clear" w:color="auto" w:fill="808080" w:themeFill="accent4"/>
      </w:tcPr>
    </w:tblStylePr>
    <w:tblStylePr w:type="lastRow">
      <w:rPr>
        <w:b/>
        <w:bCs/>
      </w:rPr>
      <w:tblPr/>
      <w:tcPr>
        <w:tcBorders>
          <w:top w:val="double" w:sz="4" w:space="0" w:color="808080" w:themeColor="accent4"/>
        </w:tcBorders>
      </w:tcPr>
    </w:tblStylePr>
    <w:tblStylePr w:type="firstCol">
      <w:rPr>
        <w:b/>
        <w:bCs/>
      </w:rPr>
    </w:tblStylePr>
    <w:tblStylePr w:type="lastCol">
      <w:rPr>
        <w:b/>
        <w:bCs/>
      </w:rPr>
    </w:tblStylePr>
    <w:tblStylePr w:type="band1Vert">
      <w:tblPr/>
      <w:tcPr>
        <w:shd w:val="clear" w:color="auto" w:fill="E5E5E5" w:themeFill="accent4" w:themeFillTint="33"/>
      </w:tcPr>
    </w:tblStylePr>
    <w:tblStylePr w:type="band1Horz">
      <w:tblPr/>
      <w:tcPr>
        <w:shd w:val="clear" w:color="auto" w:fill="E5E5E5" w:themeFill="accent4" w:themeFillTint="33"/>
      </w:tcPr>
    </w:tblStylePr>
  </w:style>
  <w:style w:type="table" w:styleId="GridTable4-Accent5">
    <w:name w:val="Grid Table 4 Accent 5"/>
    <w:basedOn w:val="TableNormal"/>
    <w:uiPriority w:val="49"/>
    <w:unhideWhenUsed/>
    <w:rsid w:val="00F978CE"/>
    <w:pPr>
      <w:spacing w:after="0" w:line="240" w:lineRule="auto"/>
    </w:pPr>
    <w:tblPr>
      <w:tblStyleRowBandSize w:val="1"/>
      <w:tblStyleColBandSize w:val="1"/>
      <w:tblBorders>
        <w:top w:val="single" w:sz="4" w:space="0" w:color="C0C0C0" w:themeColor="accent5" w:themeTint="99"/>
        <w:left w:val="single" w:sz="4" w:space="0" w:color="C0C0C0" w:themeColor="accent5" w:themeTint="99"/>
        <w:bottom w:val="single" w:sz="4" w:space="0" w:color="C0C0C0" w:themeColor="accent5" w:themeTint="99"/>
        <w:right w:val="single" w:sz="4" w:space="0" w:color="C0C0C0" w:themeColor="accent5" w:themeTint="99"/>
        <w:insideH w:val="single" w:sz="4" w:space="0" w:color="C0C0C0" w:themeColor="accent5" w:themeTint="99"/>
        <w:insideV w:val="single" w:sz="4" w:space="0" w:color="C0C0C0" w:themeColor="accent5" w:themeTint="99"/>
      </w:tblBorders>
    </w:tblPr>
    <w:tblStylePr w:type="firstRow">
      <w:rPr>
        <w:b/>
        <w:bCs/>
        <w:color w:val="FFFFFF" w:themeColor="background1"/>
      </w:rPr>
      <w:tblPr/>
      <w:tcPr>
        <w:tcBorders>
          <w:top w:val="single" w:sz="4" w:space="0" w:color="969696" w:themeColor="accent5"/>
          <w:left w:val="single" w:sz="4" w:space="0" w:color="969696" w:themeColor="accent5"/>
          <w:bottom w:val="single" w:sz="4" w:space="0" w:color="969696" w:themeColor="accent5"/>
          <w:right w:val="single" w:sz="4" w:space="0" w:color="969696" w:themeColor="accent5"/>
          <w:insideH w:val="nil"/>
          <w:insideV w:val="nil"/>
        </w:tcBorders>
        <w:shd w:val="clear" w:color="auto" w:fill="969696" w:themeFill="accent5"/>
      </w:tcPr>
    </w:tblStylePr>
    <w:tblStylePr w:type="lastRow">
      <w:rPr>
        <w:b/>
        <w:bCs/>
      </w:rPr>
      <w:tblPr/>
      <w:tcPr>
        <w:tcBorders>
          <w:top w:val="double" w:sz="4" w:space="0" w:color="969696" w:themeColor="accent5"/>
        </w:tcBorders>
      </w:tcPr>
    </w:tblStylePr>
    <w:tblStylePr w:type="firstCol">
      <w:rPr>
        <w:b/>
        <w:bCs/>
      </w:rPr>
    </w:tblStylePr>
    <w:tblStylePr w:type="lastCol">
      <w:rPr>
        <w:b/>
        <w:bCs/>
      </w:rPr>
    </w:tblStylePr>
    <w:tblStylePr w:type="band1Vert">
      <w:tblPr/>
      <w:tcPr>
        <w:shd w:val="clear" w:color="auto" w:fill="EAEAEA" w:themeFill="accent5" w:themeFillTint="33"/>
      </w:tcPr>
    </w:tblStylePr>
    <w:tblStylePr w:type="band1Horz">
      <w:tblPr/>
      <w:tcPr>
        <w:shd w:val="clear" w:color="auto" w:fill="EAEAEA" w:themeFill="accent5" w:themeFillTint="33"/>
      </w:tcPr>
    </w:tblStylePr>
  </w:style>
  <w:style w:type="table" w:styleId="GridTable4-Accent6">
    <w:name w:val="Grid Table 4 Accent 6"/>
    <w:basedOn w:val="TableNormal"/>
    <w:uiPriority w:val="49"/>
    <w:unhideWhenUsed/>
    <w:rsid w:val="00F978CE"/>
    <w:pPr>
      <w:spacing w:after="0" w:line="240" w:lineRule="auto"/>
    </w:pPr>
    <w:tblPr>
      <w:tblStyleRowBandSize w:val="1"/>
      <w:tblStyleColBandSize w:val="1"/>
      <w:tblBorders>
        <w:top w:val="single" w:sz="4" w:space="0" w:color="DBDBDB" w:themeColor="accent6" w:themeTint="99"/>
        <w:left w:val="single" w:sz="4" w:space="0" w:color="DBDBDB" w:themeColor="accent6" w:themeTint="99"/>
        <w:bottom w:val="single" w:sz="4" w:space="0" w:color="DBDBDB" w:themeColor="accent6" w:themeTint="99"/>
        <w:right w:val="single" w:sz="4" w:space="0" w:color="DBDBDB" w:themeColor="accent6" w:themeTint="99"/>
        <w:insideH w:val="single" w:sz="4" w:space="0" w:color="DBDBDB" w:themeColor="accent6" w:themeTint="99"/>
        <w:insideV w:val="single" w:sz="4" w:space="0" w:color="DBDBDB" w:themeColor="accent6" w:themeTint="99"/>
      </w:tblBorders>
    </w:tblPr>
    <w:tblStylePr w:type="firstRow">
      <w:rPr>
        <w:b/>
        <w:bCs/>
        <w:color w:val="FFFFFF" w:themeColor="background1"/>
      </w:rPr>
      <w:tblPr/>
      <w:tcPr>
        <w:tcBorders>
          <w:top w:val="single" w:sz="4" w:space="0" w:color="C3C3C3" w:themeColor="accent6"/>
          <w:left w:val="single" w:sz="4" w:space="0" w:color="C3C3C3" w:themeColor="accent6"/>
          <w:bottom w:val="single" w:sz="4" w:space="0" w:color="C3C3C3" w:themeColor="accent6"/>
          <w:right w:val="single" w:sz="4" w:space="0" w:color="C3C3C3" w:themeColor="accent6"/>
          <w:insideH w:val="nil"/>
          <w:insideV w:val="nil"/>
        </w:tcBorders>
        <w:shd w:val="clear" w:color="auto" w:fill="C3C3C3" w:themeFill="accent6"/>
      </w:tcPr>
    </w:tblStylePr>
    <w:tblStylePr w:type="lastRow">
      <w:rPr>
        <w:b/>
        <w:bCs/>
      </w:rPr>
      <w:tblPr/>
      <w:tcPr>
        <w:tcBorders>
          <w:top w:val="double" w:sz="4" w:space="0" w:color="C3C3C3" w:themeColor="accent6"/>
        </w:tcBorders>
      </w:tcPr>
    </w:tblStylePr>
    <w:tblStylePr w:type="firstCol">
      <w:rPr>
        <w:b/>
        <w:bCs/>
      </w:rPr>
    </w:tblStylePr>
    <w:tblStylePr w:type="lastCol">
      <w:rPr>
        <w:b/>
        <w:bCs/>
      </w:rPr>
    </w:tblStylePr>
    <w:tblStylePr w:type="band1Vert">
      <w:tblPr/>
      <w:tcPr>
        <w:shd w:val="clear" w:color="auto" w:fill="F3F3F3" w:themeFill="accent6" w:themeFillTint="33"/>
      </w:tcPr>
    </w:tblStylePr>
    <w:tblStylePr w:type="band1Horz">
      <w:tblPr/>
      <w:tcPr>
        <w:shd w:val="clear" w:color="auto" w:fill="F3F3F3" w:themeFill="accent6" w:themeFillTint="33"/>
      </w:tcPr>
    </w:tblStylePr>
  </w:style>
  <w:style w:type="table" w:styleId="GridTable5Dark">
    <w:name w:val="Grid Table 5 Dark"/>
    <w:basedOn w:val="TableNormal"/>
    <w:uiPriority w:val="50"/>
    <w:unhideWhenUsed/>
    <w:rsid w:val="00F978CE"/>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GridTable5Dark-Accent1">
    <w:name w:val="Grid Table 5 Dark Accent 1"/>
    <w:basedOn w:val="TableNormal"/>
    <w:uiPriority w:val="50"/>
    <w:unhideWhenUsed/>
    <w:rsid w:val="00F978CE"/>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FBCE0"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F005F"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F005F"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F005F"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F005F" w:themeFill="accent1"/>
      </w:tcPr>
    </w:tblStylePr>
    <w:tblStylePr w:type="band1Vert">
      <w:tblPr/>
      <w:tcPr>
        <w:shd w:val="clear" w:color="auto" w:fill="FF79C1" w:themeFill="accent1" w:themeFillTint="66"/>
      </w:tcPr>
    </w:tblStylePr>
    <w:tblStylePr w:type="band1Horz">
      <w:tblPr/>
      <w:tcPr>
        <w:shd w:val="clear" w:color="auto" w:fill="FF79C1" w:themeFill="accent1" w:themeFillTint="66"/>
      </w:tcPr>
    </w:tblStylePr>
  </w:style>
  <w:style w:type="table" w:styleId="GridTable5Dark-Accent2">
    <w:name w:val="Grid Table 5 Dark Accent 2"/>
    <w:basedOn w:val="TableNormal"/>
    <w:uiPriority w:val="50"/>
    <w:unhideWhenUsed/>
    <w:rsid w:val="00F978CE"/>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3D4E5"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BF337F"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BF337F"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BF337F"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BF337F" w:themeFill="accent2"/>
      </w:tcPr>
    </w:tblStylePr>
    <w:tblStylePr w:type="band1Vert">
      <w:tblPr/>
      <w:tcPr>
        <w:shd w:val="clear" w:color="auto" w:fill="E8AACB" w:themeFill="accent2" w:themeFillTint="66"/>
      </w:tcPr>
    </w:tblStylePr>
    <w:tblStylePr w:type="band1Horz">
      <w:tblPr/>
      <w:tcPr>
        <w:shd w:val="clear" w:color="auto" w:fill="E8AACB" w:themeFill="accent2" w:themeFillTint="66"/>
      </w:tcPr>
    </w:tblStylePr>
  </w:style>
  <w:style w:type="table" w:styleId="GridTable5Dark-Accent3">
    <w:name w:val="Grid Table 5 Dark Accent 3"/>
    <w:basedOn w:val="TableNormal"/>
    <w:uiPriority w:val="50"/>
    <w:unhideWhenUsed/>
    <w:rsid w:val="00F978CE"/>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4DEEA"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CC5C9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CC5C9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CC5C9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CC5C99" w:themeFill="accent3"/>
      </w:tcPr>
    </w:tblStylePr>
    <w:tblStylePr w:type="band1Vert">
      <w:tblPr/>
      <w:tcPr>
        <w:shd w:val="clear" w:color="auto" w:fill="EABDD6" w:themeFill="accent3" w:themeFillTint="66"/>
      </w:tcPr>
    </w:tblStylePr>
    <w:tblStylePr w:type="band1Horz">
      <w:tblPr/>
      <w:tcPr>
        <w:shd w:val="clear" w:color="auto" w:fill="EABDD6" w:themeFill="accent3" w:themeFillTint="66"/>
      </w:tcPr>
    </w:tblStylePr>
  </w:style>
  <w:style w:type="table" w:styleId="GridTable5Dark-Accent4">
    <w:name w:val="Grid Table 5 Dark Accent 4"/>
    <w:basedOn w:val="TableNormal"/>
    <w:uiPriority w:val="50"/>
    <w:unhideWhenUsed/>
    <w:rsid w:val="00F978CE"/>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5E5E5"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808080"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808080"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808080"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808080" w:themeFill="accent4"/>
      </w:tcPr>
    </w:tblStylePr>
    <w:tblStylePr w:type="band1Vert">
      <w:tblPr/>
      <w:tcPr>
        <w:shd w:val="clear" w:color="auto" w:fill="CCCCCC" w:themeFill="accent4" w:themeFillTint="66"/>
      </w:tcPr>
    </w:tblStylePr>
    <w:tblStylePr w:type="band1Horz">
      <w:tblPr/>
      <w:tcPr>
        <w:shd w:val="clear" w:color="auto" w:fill="CCCCCC" w:themeFill="accent4" w:themeFillTint="66"/>
      </w:tcPr>
    </w:tblStylePr>
  </w:style>
  <w:style w:type="table" w:styleId="GridTable5Dark-Accent5">
    <w:name w:val="Grid Table 5 Dark Accent 5"/>
    <w:basedOn w:val="TableNormal"/>
    <w:uiPriority w:val="50"/>
    <w:unhideWhenUsed/>
    <w:rsid w:val="00F978CE"/>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EAEA"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69696"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69696"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69696"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69696" w:themeFill="accent5"/>
      </w:tcPr>
    </w:tblStylePr>
    <w:tblStylePr w:type="band1Vert">
      <w:tblPr/>
      <w:tcPr>
        <w:shd w:val="clear" w:color="auto" w:fill="D5D5D5" w:themeFill="accent5" w:themeFillTint="66"/>
      </w:tcPr>
    </w:tblStylePr>
    <w:tblStylePr w:type="band1Horz">
      <w:tblPr/>
      <w:tcPr>
        <w:shd w:val="clear" w:color="auto" w:fill="D5D5D5" w:themeFill="accent5" w:themeFillTint="66"/>
      </w:tcPr>
    </w:tblStylePr>
  </w:style>
  <w:style w:type="table" w:styleId="GridTable5Dark-Accent6">
    <w:name w:val="Grid Table 5 Dark Accent 6"/>
    <w:basedOn w:val="TableNormal"/>
    <w:uiPriority w:val="50"/>
    <w:unhideWhenUsed/>
    <w:rsid w:val="00F978CE"/>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3F3F3"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C3C3C3"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C3C3C3"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C3C3C3"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C3C3C3" w:themeFill="accent6"/>
      </w:tcPr>
    </w:tblStylePr>
    <w:tblStylePr w:type="band1Vert">
      <w:tblPr/>
      <w:tcPr>
        <w:shd w:val="clear" w:color="auto" w:fill="E7E7E7" w:themeFill="accent6" w:themeFillTint="66"/>
      </w:tcPr>
    </w:tblStylePr>
    <w:tblStylePr w:type="band1Horz">
      <w:tblPr/>
      <w:tcPr>
        <w:shd w:val="clear" w:color="auto" w:fill="E7E7E7" w:themeFill="accent6" w:themeFillTint="66"/>
      </w:tcPr>
    </w:tblStylePr>
  </w:style>
  <w:style w:type="table" w:styleId="GridTable6Colorful">
    <w:name w:val="Grid Table 6 Colorful"/>
    <w:basedOn w:val="TableNormal"/>
    <w:uiPriority w:val="51"/>
    <w:unhideWhenUsed/>
    <w:rsid w:val="00F978CE"/>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6Colorful-Accent1">
    <w:name w:val="Grid Table 6 Colorful Accent 1"/>
    <w:basedOn w:val="TableNormal"/>
    <w:uiPriority w:val="51"/>
    <w:unhideWhenUsed/>
    <w:rsid w:val="00F978CE"/>
    <w:pPr>
      <w:spacing w:after="0" w:line="240" w:lineRule="auto"/>
    </w:pPr>
    <w:rPr>
      <w:color w:val="830046" w:themeColor="accent1" w:themeShade="BF"/>
    </w:rPr>
    <w:tblPr>
      <w:tblStyleRowBandSize w:val="1"/>
      <w:tblStyleColBandSize w:val="1"/>
      <w:tblBorders>
        <w:top w:val="single" w:sz="4" w:space="0" w:color="FF36A2" w:themeColor="accent1" w:themeTint="99"/>
        <w:left w:val="single" w:sz="4" w:space="0" w:color="FF36A2" w:themeColor="accent1" w:themeTint="99"/>
        <w:bottom w:val="single" w:sz="4" w:space="0" w:color="FF36A2" w:themeColor="accent1" w:themeTint="99"/>
        <w:right w:val="single" w:sz="4" w:space="0" w:color="FF36A2" w:themeColor="accent1" w:themeTint="99"/>
        <w:insideH w:val="single" w:sz="4" w:space="0" w:color="FF36A2" w:themeColor="accent1" w:themeTint="99"/>
        <w:insideV w:val="single" w:sz="4" w:space="0" w:color="FF36A2" w:themeColor="accent1" w:themeTint="99"/>
      </w:tblBorders>
    </w:tblPr>
    <w:tblStylePr w:type="firstRow">
      <w:rPr>
        <w:b/>
        <w:bCs/>
      </w:rPr>
      <w:tblPr/>
      <w:tcPr>
        <w:tcBorders>
          <w:bottom w:val="single" w:sz="12" w:space="0" w:color="FF36A2" w:themeColor="accent1" w:themeTint="99"/>
        </w:tcBorders>
      </w:tcPr>
    </w:tblStylePr>
    <w:tblStylePr w:type="lastRow">
      <w:rPr>
        <w:b/>
        <w:bCs/>
      </w:rPr>
      <w:tblPr/>
      <w:tcPr>
        <w:tcBorders>
          <w:top w:val="double" w:sz="4" w:space="0" w:color="FF36A2" w:themeColor="accent1" w:themeTint="99"/>
        </w:tcBorders>
      </w:tcPr>
    </w:tblStylePr>
    <w:tblStylePr w:type="firstCol">
      <w:rPr>
        <w:b/>
        <w:bCs/>
      </w:rPr>
    </w:tblStylePr>
    <w:tblStylePr w:type="lastCol">
      <w:rPr>
        <w:b/>
        <w:bCs/>
      </w:rPr>
    </w:tblStylePr>
    <w:tblStylePr w:type="band1Vert">
      <w:tblPr/>
      <w:tcPr>
        <w:shd w:val="clear" w:color="auto" w:fill="FFBCE0" w:themeFill="accent1" w:themeFillTint="33"/>
      </w:tcPr>
    </w:tblStylePr>
    <w:tblStylePr w:type="band1Horz">
      <w:tblPr/>
      <w:tcPr>
        <w:shd w:val="clear" w:color="auto" w:fill="FFBCE0" w:themeFill="accent1" w:themeFillTint="33"/>
      </w:tcPr>
    </w:tblStylePr>
  </w:style>
  <w:style w:type="table" w:styleId="GridTable6Colorful-Accent2">
    <w:name w:val="Grid Table 6 Colorful Accent 2"/>
    <w:basedOn w:val="TableNormal"/>
    <w:uiPriority w:val="51"/>
    <w:unhideWhenUsed/>
    <w:rsid w:val="00F978CE"/>
    <w:pPr>
      <w:spacing w:after="0" w:line="240" w:lineRule="auto"/>
    </w:pPr>
    <w:rPr>
      <w:color w:val="8E265E" w:themeColor="accent2" w:themeShade="BF"/>
    </w:rPr>
    <w:tblPr>
      <w:tblStyleRowBandSize w:val="1"/>
      <w:tblStyleColBandSize w:val="1"/>
      <w:tblBorders>
        <w:top w:val="single" w:sz="4" w:space="0" w:color="DD7FB2" w:themeColor="accent2" w:themeTint="99"/>
        <w:left w:val="single" w:sz="4" w:space="0" w:color="DD7FB2" w:themeColor="accent2" w:themeTint="99"/>
        <w:bottom w:val="single" w:sz="4" w:space="0" w:color="DD7FB2" w:themeColor="accent2" w:themeTint="99"/>
        <w:right w:val="single" w:sz="4" w:space="0" w:color="DD7FB2" w:themeColor="accent2" w:themeTint="99"/>
        <w:insideH w:val="single" w:sz="4" w:space="0" w:color="DD7FB2" w:themeColor="accent2" w:themeTint="99"/>
        <w:insideV w:val="single" w:sz="4" w:space="0" w:color="DD7FB2" w:themeColor="accent2" w:themeTint="99"/>
      </w:tblBorders>
    </w:tblPr>
    <w:tblStylePr w:type="firstRow">
      <w:rPr>
        <w:b/>
        <w:bCs/>
      </w:rPr>
      <w:tblPr/>
      <w:tcPr>
        <w:tcBorders>
          <w:bottom w:val="single" w:sz="12" w:space="0" w:color="DD7FB2" w:themeColor="accent2" w:themeTint="99"/>
        </w:tcBorders>
      </w:tcPr>
    </w:tblStylePr>
    <w:tblStylePr w:type="lastRow">
      <w:rPr>
        <w:b/>
        <w:bCs/>
      </w:rPr>
      <w:tblPr/>
      <w:tcPr>
        <w:tcBorders>
          <w:top w:val="double" w:sz="4" w:space="0" w:color="DD7FB2" w:themeColor="accent2" w:themeTint="99"/>
        </w:tcBorders>
      </w:tcPr>
    </w:tblStylePr>
    <w:tblStylePr w:type="firstCol">
      <w:rPr>
        <w:b/>
        <w:bCs/>
      </w:rPr>
    </w:tblStylePr>
    <w:tblStylePr w:type="lastCol">
      <w:rPr>
        <w:b/>
        <w:bCs/>
      </w:rPr>
    </w:tblStylePr>
    <w:tblStylePr w:type="band1Vert">
      <w:tblPr/>
      <w:tcPr>
        <w:shd w:val="clear" w:color="auto" w:fill="F3D4E5" w:themeFill="accent2" w:themeFillTint="33"/>
      </w:tcPr>
    </w:tblStylePr>
    <w:tblStylePr w:type="band1Horz">
      <w:tblPr/>
      <w:tcPr>
        <w:shd w:val="clear" w:color="auto" w:fill="F3D4E5" w:themeFill="accent2" w:themeFillTint="33"/>
      </w:tcPr>
    </w:tblStylePr>
  </w:style>
  <w:style w:type="table" w:styleId="GridTable6Colorful-Accent3">
    <w:name w:val="Grid Table 6 Colorful Accent 3"/>
    <w:basedOn w:val="TableNormal"/>
    <w:uiPriority w:val="51"/>
    <w:unhideWhenUsed/>
    <w:rsid w:val="00F978CE"/>
    <w:pPr>
      <w:spacing w:after="0" w:line="240" w:lineRule="auto"/>
    </w:pPr>
    <w:rPr>
      <w:color w:val="A83573" w:themeColor="accent3" w:themeShade="BF"/>
    </w:rPr>
    <w:tblPr>
      <w:tblStyleRowBandSize w:val="1"/>
      <w:tblStyleColBandSize w:val="1"/>
      <w:tblBorders>
        <w:top w:val="single" w:sz="4" w:space="0" w:color="E09DC1" w:themeColor="accent3" w:themeTint="99"/>
        <w:left w:val="single" w:sz="4" w:space="0" w:color="E09DC1" w:themeColor="accent3" w:themeTint="99"/>
        <w:bottom w:val="single" w:sz="4" w:space="0" w:color="E09DC1" w:themeColor="accent3" w:themeTint="99"/>
        <w:right w:val="single" w:sz="4" w:space="0" w:color="E09DC1" w:themeColor="accent3" w:themeTint="99"/>
        <w:insideH w:val="single" w:sz="4" w:space="0" w:color="E09DC1" w:themeColor="accent3" w:themeTint="99"/>
        <w:insideV w:val="single" w:sz="4" w:space="0" w:color="E09DC1" w:themeColor="accent3" w:themeTint="99"/>
      </w:tblBorders>
    </w:tblPr>
    <w:tblStylePr w:type="firstRow">
      <w:rPr>
        <w:b/>
        <w:bCs/>
      </w:rPr>
      <w:tblPr/>
      <w:tcPr>
        <w:tcBorders>
          <w:bottom w:val="single" w:sz="12" w:space="0" w:color="E09DC1" w:themeColor="accent3" w:themeTint="99"/>
        </w:tcBorders>
      </w:tcPr>
    </w:tblStylePr>
    <w:tblStylePr w:type="lastRow">
      <w:rPr>
        <w:b/>
        <w:bCs/>
      </w:rPr>
      <w:tblPr/>
      <w:tcPr>
        <w:tcBorders>
          <w:top w:val="double" w:sz="4" w:space="0" w:color="E09DC1" w:themeColor="accent3" w:themeTint="99"/>
        </w:tcBorders>
      </w:tcPr>
    </w:tblStylePr>
    <w:tblStylePr w:type="firstCol">
      <w:rPr>
        <w:b/>
        <w:bCs/>
      </w:rPr>
    </w:tblStylePr>
    <w:tblStylePr w:type="lastCol">
      <w:rPr>
        <w:b/>
        <w:bCs/>
      </w:rPr>
    </w:tblStylePr>
    <w:tblStylePr w:type="band1Vert">
      <w:tblPr/>
      <w:tcPr>
        <w:shd w:val="clear" w:color="auto" w:fill="F4DEEA" w:themeFill="accent3" w:themeFillTint="33"/>
      </w:tcPr>
    </w:tblStylePr>
    <w:tblStylePr w:type="band1Horz">
      <w:tblPr/>
      <w:tcPr>
        <w:shd w:val="clear" w:color="auto" w:fill="F4DEEA" w:themeFill="accent3" w:themeFillTint="33"/>
      </w:tcPr>
    </w:tblStylePr>
  </w:style>
  <w:style w:type="table" w:styleId="GridTable6Colorful-Accent4">
    <w:name w:val="Grid Table 6 Colorful Accent 4"/>
    <w:basedOn w:val="TableNormal"/>
    <w:uiPriority w:val="51"/>
    <w:unhideWhenUsed/>
    <w:rsid w:val="00F978CE"/>
    <w:pPr>
      <w:spacing w:after="0" w:line="240" w:lineRule="auto"/>
    </w:pPr>
    <w:rPr>
      <w:color w:val="5F5F5F" w:themeColor="accent4" w:themeShade="BF"/>
    </w:rPr>
    <w:tblPr>
      <w:tblStyleRowBandSize w:val="1"/>
      <w:tblStyleColBandSize w:val="1"/>
      <w:tblBorders>
        <w:top w:val="single" w:sz="4" w:space="0" w:color="B2B2B2" w:themeColor="accent4" w:themeTint="99"/>
        <w:left w:val="single" w:sz="4" w:space="0" w:color="B2B2B2" w:themeColor="accent4" w:themeTint="99"/>
        <w:bottom w:val="single" w:sz="4" w:space="0" w:color="B2B2B2" w:themeColor="accent4" w:themeTint="99"/>
        <w:right w:val="single" w:sz="4" w:space="0" w:color="B2B2B2" w:themeColor="accent4" w:themeTint="99"/>
        <w:insideH w:val="single" w:sz="4" w:space="0" w:color="B2B2B2" w:themeColor="accent4" w:themeTint="99"/>
        <w:insideV w:val="single" w:sz="4" w:space="0" w:color="B2B2B2" w:themeColor="accent4" w:themeTint="99"/>
      </w:tblBorders>
    </w:tblPr>
    <w:tblStylePr w:type="firstRow">
      <w:rPr>
        <w:b/>
        <w:bCs/>
      </w:rPr>
      <w:tblPr/>
      <w:tcPr>
        <w:tcBorders>
          <w:bottom w:val="single" w:sz="12" w:space="0" w:color="B2B2B2" w:themeColor="accent4" w:themeTint="99"/>
        </w:tcBorders>
      </w:tcPr>
    </w:tblStylePr>
    <w:tblStylePr w:type="lastRow">
      <w:rPr>
        <w:b/>
        <w:bCs/>
      </w:rPr>
      <w:tblPr/>
      <w:tcPr>
        <w:tcBorders>
          <w:top w:val="double" w:sz="4" w:space="0" w:color="B2B2B2" w:themeColor="accent4" w:themeTint="99"/>
        </w:tcBorders>
      </w:tcPr>
    </w:tblStylePr>
    <w:tblStylePr w:type="firstCol">
      <w:rPr>
        <w:b/>
        <w:bCs/>
      </w:rPr>
    </w:tblStylePr>
    <w:tblStylePr w:type="lastCol">
      <w:rPr>
        <w:b/>
        <w:bCs/>
      </w:rPr>
    </w:tblStylePr>
    <w:tblStylePr w:type="band1Vert">
      <w:tblPr/>
      <w:tcPr>
        <w:shd w:val="clear" w:color="auto" w:fill="E5E5E5" w:themeFill="accent4" w:themeFillTint="33"/>
      </w:tcPr>
    </w:tblStylePr>
    <w:tblStylePr w:type="band1Horz">
      <w:tblPr/>
      <w:tcPr>
        <w:shd w:val="clear" w:color="auto" w:fill="E5E5E5" w:themeFill="accent4" w:themeFillTint="33"/>
      </w:tcPr>
    </w:tblStylePr>
  </w:style>
  <w:style w:type="table" w:styleId="GridTable6Colorful-Accent5">
    <w:name w:val="Grid Table 6 Colorful Accent 5"/>
    <w:basedOn w:val="TableNormal"/>
    <w:uiPriority w:val="51"/>
    <w:unhideWhenUsed/>
    <w:rsid w:val="00F978CE"/>
    <w:pPr>
      <w:spacing w:after="0" w:line="240" w:lineRule="auto"/>
    </w:pPr>
    <w:rPr>
      <w:color w:val="707070" w:themeColor="accent5" w:themeShade="BF"/>
    </w:rPr>
    <w:tblPr>
      <w:tblStyleRowBandSize w:val="1"/>
      <w:tblStyleColBandSize w:val="1"/>
      <w:tblBorders>
        <w:top w:val="single" w:sz="4" w:space="0" w:color="C0C0C0" w:themeColor="accent5" w:themeTint="99"/>
        <w:left w:val="single" w:sz="4" w:space="0" w:color="C0C0C0" w:themeColor="accent5" w:themeTint="99"/>
        <w:bottom w:val="single" w:sz="4" w:space="0" w:color="C0C0C0" w:themeColor="accent5" w:themeTint="99"/>
        <w:right w:val="single" w:sz="4" w:space="0" w:color="C0C0C0" w:themeColor="accent5" w:themeTint="99"/>
        <w:insideH w:val="single" w:sz="4" w:space="0" w:color="C0C0C0" w:themeColor="accent5" w:themeTint="99"/>
        <w:insideV w:val="single" w:sz="4" w:space="0" w:color="C0C0C0" w:themeColor="accent5" w:themeTint="99"/>
      </w:tblBorders>
    </w:tblPr>
    <w:tblStylePr w:type="firstRow">
      <w:rPr>
        <w:b/>
        <w:bCs/>
      </w:rPr>
      <w:tblPr/>
      <w:tcPr>
        <w:tcBorders>
          <w:bottom w:val="single" w:sz="12" w:space="0" w:color="C0C0C0" w:themeColor="accent5" w:themeTint="99"/>
        </w:tcBorders>
      </w:tcPr>
    </w:tblStylePr>
    <w:tblStylePr w:type="lastRow">
      <w:rPr>
        <w:b/>
        <w:bCs/>
      </w:rPr>
      <w:tblPr/>
      <w:tcPr>
        <w:tcBorders>
          <w:top w:val="double" w:sz="4" w:space="0" w:color="C0C0C0" w:themeColor="accent5" w:themeTint="99"/>
        </w:tcBorders>
      </w:tcPr>
    </w:tblStylePr>
    <w:tblStylePr w:type="firstCol">
      <w:rPr>
        <w:b/>
        <w:bCs/>
      </w:rPr>
    </w:tblStylePr>
    <w:tblStylePr w:type="lastCol">
      <w:rPr>
        <w:b/>
        <w:bCs/>
      </w:rPr>
    </w:tblStylePr>
    <w:tblStylePr w:type="band1Vert">
      <w:tblPr/>
      <w:tcPr>
        <w:shd w:val="clear" w:color="auto" w:fill="EAEAEA" w:themeFill="accent5" w:themeFillTint="33"/>
      </w:tcPr>
    </w:tblStylePr>
    <w:tblStylePr w:type="band1Horz">
      <w:tblPr/>
      <w:tcPr>
        <w:shd w:val="clear" w:color="auto" w:fill="EAEAEA" w:themeFill="accent5" w:themeFillTint="33"/>
      </w:tcPr>
    </w:tblStylePr>
  </w:style>
  <w:style w:type="table" w:styleId="GridTable6Colorful-Accent6">
    <w:name w:val="Grid Table 6 Colorful Accent 6"/>
    <w:basedOn w:val="TableNormal"/>
    <w:uiPriority w:val="51"/>
    <w:unhideWhenUsed/>
    <w:rsid w:val="00F978CE"/>
    <w:pPr>
      <w:spacing w:after="0" w:line="240" w:lineRule="auto"/>
    </w:pPr>
    <w:rPr>
      <w:color w:val="929292" w:themeColor="accent6" w:themeShade="BF"/>
    </w:rPr>
    <w:tblPr>
      <w:tblStyleRowBandSize w:val="1"/>
      <w:tblStyleColBandSize w:val="1"/>
      <w:tblBorders>
        <w:top w:val="single" w:sz="4" w:space="0" w:color="DBDBDB" w:themeColor="accent6" w:themeTint="99"/>
        <w:left w:val="single" w:sz="4" w:space="0" w:color="DBDBDB" w:themeColor="accent6" w:themeTint="99"/>
        <w:bottom w:val="single" w:sz="4" w:space="0" w:color="DBDBDB" w:themeColor="accent6" w:themeTint="99"/>
        <w:right w:val="single" w:sz="4" w:space="0" w:color="DBDBDB" w:themeColor="accent6" w:themeTint="99"/>
        <w:insideH w:val="single" w:sz="4" w:space="0" w:color="DBDBDB" w:themeColor="accent6" w:themeTint="99"/>
        <w:insideV w:val="single" w:sz="4" w:space="0" w:color="DBDBDB" w:themeColor="accent6" w:themeTint="99"/>
      </w:tblBorders>
    </w:tblPr>
    <w:tblStylePr w:type="firstRow">
      <w:rPr>
        <w:b/>
        <w:bCs/>
      </w:rPr>
      <w:tblPr/>
      <w:tcPr>
        <w:tcBorders>
          <w:bottom w:val="single" w:sz="12" w:space="0" w:color="DBDBDB" w:themeColor="accent6" w:themeTint="99"/>
        </w:tcBorders>
      </w:tcPr>
    </w:tblStylePr>
    <w:tblStylePr w:type="lastRow">
      <w:rPr>
        <w:b/>
        <w:bCs/>
      </w:rPr>
      <w:tblPr/>
      <w:tcPr>
        <w:tcBorders>
          <w:top w:val="double" w:sz="4" w:space="0" w:color="DBDBDB" w:themeColor="accent6" w:themeTint="99"/>
        </w:tcBorders>
      </w:tcPr>
    </w:tblStylePr>
    <w:tblStylePr w:type="firstCol">
      <w:rPr>
        <w:b/>
        <w:bCs/>
      </w:rPr>
    </w:tblStylePr>
    <w:tblStylePr w:type="lastCol">
      <w:rPr>
        <w:b/>
        <w:bCs/>
      </w:rPr>
    </w:tblStylePr>
    <w:tblStylePr w:type="band1Vert">
      <w:tblPr/>
      <w:tcPr>
        <w:shd w:val="clear" w:color="auto" w:fill="F3F3F3" w:themeFill="accent6" w:themeFillTint="33"/>
      </w:tcPr>
    </w:tblStylePr>
    <w:tblStylePr w:type="band1Horz">
      <w:tblPr/>
      <w:tcPr>
        <w:shd w:val="clear" w:color="auto" w:fill="F3F3F3" w:themeFill="accent6" w:themeFillTint="33"/>
      </w:tcPr>
    </w:tblStylePr>
  </w:style>
  <w:style w:type="table" w:styleId="GridTable7Colorful">
    <w:name w:val="Grid Table 7 Colorful"/>
    <w:basedOn w:val="TableNormal"/>
    <w:uiPriority w:val="52"/>
    <w:unhideWhenUsed/>
    <w:rsid w:val="00F978CE"/>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GridTable7Colorful-Accent1">
    <w:name w:val="Grid Table 7 Colorful Accent 1"/>
    <w:basedOn w:val="TableNormal"/>
    <w:uiPriority w:val="52"/>
    <w:unhideWhenUsed/>
    <w:rsid w:val="00F978CE"/>
    <w:pPr>
      <w:spacing w:after="0" w:line="240" w:lineRule="auto"/>
    </w:pPr>
    <w:rPr>
      <w:color w:val="830046" w:themeColor="accent1" w:themeShade="BF"/>
    </w:rPr>
    <w:tblPr>
      <w:tblStyleRowBandSize w:val="1"/>
      <w:tblStyleColBandSize w:val="1"/>
      <w:tblBorders>
        <w:top w:val="single" w:sz="4" w:space="0" w:color="FF36A2" w:themeColor="accent1" w:themeTint="99"/>
        <w:left w:val="single" w:sz="4" w:space="0" w:color="FF36A2" w:themeColor="accent1" w:themeTint="99"/>
        <w:bottom w:val="single" w:sz="4" w:space="0" w:color="FF36A2" w:themeColor="accent1" w:themeTint="99"/>
        <w:right w:val="single" w:sz="4" w:space="0" w:color="FF36A2" w:themeColor="accent1" w:themeTint="99"/>
        <w:insideH w:val="single" w:sz="4" w:space="0" w:color="FF36A2" w:themeColor="accent1" w:themeTint="99"/>
        <w:insideV w:val="single" w:sz="4" w:space="0" w:color="FF36A2"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FBCE0" w:themeFill="accent1" w:themeFillTint="33"/>
      </w:tcPr>
    </w:tblStylePr>
    <w:tblStylePr w:type="band1Horz">
      <w:tblPr/>
      <w:tcPr>
        <w:shd w:val="clear" w:color="auto" w:fill="FFBCE0" w:themeFill="accent1" w:themeFillTint="33"/>
      </w:tcPr>
    </w:tblStylePr>
    <w:tblStylePr w:type="neCell">
      <w:tblPr/>
      <w:tcPr>
        <w:tcBorders>
          <w:bottom w:val="single" w:sz="4" w:space="0" w:color="FF36A2" w:themeColor="accent1" w:themeTint="99"/>
        </w:tcBorders>
      </w:tcPr>
    </w:tblStylePr>
    <w:tblStylePr w:type="nwCell">
      <w:tblPr/>
      <w:tcPr>
        <w:tcBorders>
          <w:bottom w:val="single" w:sz="4" w:space="0" w:color="FF36A2" w:themeColor="accent1" w:themeTint="99"/>
        </w:tcBorders>
      </w:tcPr>
    </w:tblStylePr>
    <w:tblStylePr w:type="seCell">
      <w:tblPr/>
      <w:tcPr>
        <w:tcBorders>
          <w:top w:val="single" w:sz="4" w:space="0" w:color="FF36A2" w:themeColor="accent1" w:themeTint="99"/>
        </w:tcBorders>
      </w:tcPr>
    </w:tblStylePr>
    <w:tblStylePr w:type="swCell">
      <w:tblPr/>
      <w:tcPr>
        <w:tcBorders>
          <w:top w:val="single" w:sz="4" w:space="0" w:color="FF36A2" w:themeColor="accent1" w:themeTint="99"/>
        </w:tcBorders>
      </w:tcPr>
    </w:tblStylePr>
  </w:style>
  <w:style w:type="table" w:styleId="GridTable7Colorful-Accent2">
    <w:name w:val="Grid Table 7 Colorful Accent 2"/>
    <w:basedOn w:val="TableNormal"/>
    <w:uiPriority w:val="52"/>
    <w:unhideWhenUsed/>
    <w:rsid w:val="00F978CE"/>
    <w:pPr>
      <w:spacing w:after="0" w:line="240" w:lineRule="auto"/>
    </w:pPr>
    <w:rPr>
      <w:color w:val="8E265E" w:themeColor="accent2" w:themeShade="BF"/>
    </w:rPr>
    <w:tblPr>
      <w:tblStyleRowBandSize w:val="1"/>
      <w:tblStyleColBandSize w:val="1"/>
      <w:tblBorders>
        <w:top w:val="single" w:sz="4" w:space="0" w:color="DD7FB2" w:themeColor="accent2" w:themeTint="99"/>
        <w:left w:val="single" w:sz="4" w:space="0" w:color="DD7FB2" w:themeColor="accent2" w:themeTint="99"/>
        <w:bottom w:val="single" w:sz="4" w:space="0" w:color="DD7FB2" w:themeColor="accent2" w:themeTint="99"/>
        <w:right w:val="single" w:sz="4" w:space="0" w:color="DD7FB2" w:themeColor="accent2" w:themeTint="99"/>
        <w:insideH w:val="single" w:sz="4" w:space="0" w:color="DD7FB2" w:themeColor="accent2" w:themeTint="99"/>
        <w:insideV w:val="single" w:sz="4" w:space="0" w:color="DD7FB2"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3D4E5" w:themeFill="accent2" w:themeFillTint="33"/>
      </w:tcPr>
    </w:tblStylePr>
    <w:tblStylePr w:type="band1Horz">
      <w:tblPr/>
      <w:tcPr>
        <w:shd w:val="clear" w:color="auto" w:fill="F3D4E5" w:themeFill="accent2" w:themeFillTint="33"/>
      </w:tcPr>
    </w:tblStylePr>
    <w:tblStylePr w:type="neCell">
      <w:tblPr/>
      <w:tcPr>
        <w:tcBorders>
          <w:bottom w:val="single" w:sz="4" w:space="0" w:color="DD7FB2" w:themeColor="accent2" w:themeTint="99"/>
        </w:tcBorders>
      </w:tcPr>
    </w:tblStylePr>
    <w:tblStylePr w:type="nwCell">
      <w:tblPr/>
      <w:tcPr>
        <w:tcBorders>
          <w:bottom w:val="single" w:sz="4" w:space="0" w:color="DD7FB2" w:themeColor="accent2" w:themeTint="99"/>
        </w:tcBorders>
      </w:tcPr>
    </w:tblStylePr>
    <w:tblStylePr w:type="seCell">
      <w:tblPr/>
      <w:tcPr>
        <w:tcBorders>
          <w:top w:val="single" w:sz="4" w:space="0" w:color="DD7FB2" w:themeColor="accent2" w:themeTint="99"/>
        </w:tcBorders>
      </w:tcPr>
    </w:tblStylePr>
    <w:tblStylePr w:type="swCell">
      <w:tblPr/>
      <w:tcPr>
        <w:tcBorders>
          <w:top w:val="single" w:sz="4" w:space="0" w:color="DD7FB2" w:themeColor="accent2" w:themeTint="99"/>
        </w:tcBorders>
      </w:tcPr>
    </w:tblStylePr>
  </w:style>
  <w:style w:type="table" w:styleId="GridTable7Colorful-Accent3">
    <w:name w:val="Grid Table 7 Colorful Accent 3"/>
    <w:basedOn w:val="TableNormal"/>
    <w:uiPriority w:val="52"/>
    <w:unhideWhenUsed/>
    <w:rsid w:val="00F978CE"/>
    <w:pPr>
      <w:spacing w:after="0" w:line="240" w:lineRule="auto"/>
    </w:pPr>
    <w:rPr>
      <w:color w:val="A83573" w:themeColor="accent3" w:themeShade="BF"/>
    </w:rPr>
    <w:tblPr>
      <w:tblStyleRowBandSize w:val="1"/>
      <w:tblStyleColBandSize w:val="1"/>
      <w:tblBorders>
        <w:top w:val="single" w:sz="4" w:space="0" w:color="E09DC1" w:themeColor="accent3" w:themeTint="99"/>
        <w:left w:val="single" w:sz="4" w:space="0" w:color="E09DC1" w:themeColor="accent3" w:themeTint="99"/>
        <w:bottom w:val="single" w:sz="4" w:space="0" w:color="E09DC1" w:themeColor="accent3" w:themeTint="99"/>
        <w:right w:val="single" w:sz="4" w:space="0" w:color="E09DC1" w:themeColor="accent3" w:themeTint="99"/>
        <w:insideH w:val="single" w:sz="4" w:space="0" w:color="E09DC1" w:themeColor="accent3" w:themeTint="99"/>
        <w:insideV w:val="single" w:sz="4" w:space="0" w:color="E09DC1"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4DEEA" w:themeFill="accent3" w:themeFillTint="33"/>
      </w:tcPr>
    </w:tblStylePr>
    <w:tblStylePr w:type="band1Horz">
      <w:tblPr/>
      <w:tcPr>
        <w:shd w:val="clear" w:color="auto" w:fill="F4DEEA" w:themeFill="accent3" w:themeFillTint="33"/>
      </w:tcPr>
    </w:tblStylePr>
    <w:tblStylePr w:type="neCell">
      <w:tblPr/>
      <w:tcPr>
        <w:tcBorders>
          <w:bottom w:val="single" w:sz="4" w:space="0" w:color="E09DC1" w:themeColor="accent3" w:themeTint="99"/>
        </w:tcBorders>
      </w:tcPr>
    </w:tblStylePr>
    <w:tblStylePr w:type="nwCell">
      <w:tblPr/>
      <w:tcPr>
        <w:tcBorders>
          <w:bottom w:val="single" w:sz="4" w:space="0" w:color="E09DC1" w:themeColor="accent3" w:themeTint="99"/>
        </w:tcBorders>
      </w:tcPr>
    </w:tblStylePr>
    <w:tblStylePr w:type="seCell">
      <w:tblPr/>
      <w:tcPr>
        <w:tcBorders>
          <w:top w:val="single" w:sz="4" w:space="0" w:color="E09DC1" w:themeColor="accent3" w:themeTint="99"/>
        </w:tcBorders>
      </w:tcPr>
    </w:tblStylePr>
    <w:tblStylePr w:type="swCell">
      <w:tblPr/>
      <w:tcPr>
        <w:tcBorders>
          <w:top w:val="single" w:sz="4" w:space="0" w:color="E09DC1" w:themeColor="accent3" w:themeTint="99"/>
        </w:tcBorders>
      </w:tcPr>
    </w:tblStylePr>
  </w:style>
  <w:style w:type="table" w:styleId="GridTable7Colorful-Accent4">
    <w:name w:val="Grid Table 7 Colorful Accent 4"/>
    <w:basedOn w:val="TableNormal"/>
    <w:uiPriority w:val="52"/>
    <w:unhideWhenUsed/>
    <w:rsid w:val="00F978CE"/>
    <w:pPr>
      <w:spacing w:after="0" w:line="240" w:lineRule="auto"/>
    </w:pPr>
    <w:rPr>
      <w:color w:val="5F5F5F" w:themeColor="accent4" w:themeShade="BF"/>
    </w:rPr>
    <w:tblPr>
      <w:tblStyleRowBandSize w:val="1"/>
      <w:tblStyleColBandSize w:val="1"/>
      <w:tblBorders>
        <w:top w:val="single" w:sz="4" w:space="0" w:color="B2B2B2" w:themeColor="accent4" w:themeTint="99"/>
        <w:left w:val="single" w:sz="4" w:space="0" w:color="B2B2B2" w:themeColor="accent4" w:themeTint="99"/>
        <w:bottom w:val="single" w:sz="4" w:space="0" w:color="B2B2B2" w:themeColor="accent4" w:themeTint="99"/>
        <w:right w:val="single" w:sz="4" w:space="0" w:color="B2B2B2" w:themeColor="accent4" w:themeTint="99"/>
        <w:insideH w:val="single" w:sz="4" w:space="0" w:color="B2B2B2" w:themeColor="accent4" w:themeTint="99"/>
        <w:insideV w:val="single" w:sz="4" w:space="0" w:color="B2B2B2"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5E5E5" w:themeFill="accent4" w:themeFillTint="33"/>
      </w:tcPr>
    </w:tblStylePr>
    <w:tblStylePr w:type="band1Horz">
      <w:tblPr/>
      <w:tcPr>
        <w:shd w:val="clear" w:color="auto" w:fill="E5E5E5" w:themeFill="accent4" w:themeFillTint="33"/>
      </w:tcPr>
    </w:tblStylePr>
    <w:tblStylePr w:type="neCell">
      <w:tblPr/>
      <w:tcPr>
        <w:tcBorders>
          <w:bottom w:val="single" w:sz="4" w:space="0" w:color="B2B2B2" w:themeColor="accent4" w:themeTint="99"/>
        </w:tcBorders>
      </w:tcPr>
    </w:tblStylePr>
    <w:tblStylePr w:type="nwCell">
      <w:tblPr/>
      <w:tcPr>
        <w:tcBorders>
          <w:bottom w:val="single" w:sz="4" w:space="0" w:color="B2B2B2" w:themeColor="accent4" w:themeTint="99"/>
        </w:tcBorders>
      </w:tcPr>
    </w:tblStylePr>
    <w:tblStylePr w:type="seCell">
      <w:tblPr/>
      <w:tcPr>
        <w:tcBorders>
          <w:top w:val="single" w:sz="4" w:space="0" w:color="B2B2B2" w:themeColor="accent4" w:themeTint="99"/>
        </w:tcBorders>
      </w:tcPr>
    </w:tblStylePr>
    <w:tblStylePr w:type="swCell">
      <w:tblPr/>
      <w:tcPr>
        <w:tcBorders>
          <w:top w:val="single" w:sz="4" w:space="0" w:color="B2B2B2" w:themeColor="accent4" w:themeTint="99"/>
        </w:tcBorders>
      </w:tcPr>
    </w:tblStylePr>
  </w:style>
  <w:style w:type="table" w:styleId="GridTable7Colorful-Accent5">
    <w:name w:val="Grid Table 7 Colorful Accent 5"/>
    <w:basedOn w:val="TableNormal"/>
    <w:uiPriority w:val="52"/>
    <w:unhideWhenUsed/>
    <w:rsid w:val="00F978CE"/>
    <w:pPr>
      <w:spacing w:after="0" w:line="240" w:lineRule="auto"/>
    </w:pPr>
    <w:rPr>
      <w:color w:val="707070" w:themeColor="accent5" w:themeShade="BF"/>
    </w:rPr>
    <w:tblPr>
      <w:tblStyleRowBandSize w:val="1"/>
      <w:tblStyleColBandSize w:val="1"/>
      <w:tblBorders>
        <w:top w:val="single" w:sz="4" w:space="0" w:color="C0C0C0" w:themeColor="accent5" w:themeTint="99"/>
        <w:left w:val="single" w:sz="4" w:space="0" w:color="C0C0C0" w:themeColor="accent5" w:themeTint="99"/>
        <w:bottom w:val="single" w:sz="4" w:space="0" w:color="C0C0C0" w:themeColor="accent5" w:themeTint="99"/>
        <w:right w:val="single" w:sz="4" w:space="0" w:color="C0C0C0" w:themeColor="accent5" w:themeTint="99"/>
        <w:insideH w:val="single" w:sz="4" w:space="0" w:color="C0C0C0" w:themeColor="accent5" w:themeTint="99"/>
        <w:insideV w:val="single" w:sz="4" w:space="0" w:color="C0C0C0"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AEAEA" w:themeFill="accent5" w:themeFillTint="33"/>
      </w:tcPr>
    </w:tblStylePr>
    <w:tblStylePr w:type="band1Horz">
      <w:tblPr/>
      <w:tcPr>
        <w:shd w:val="clear" w:color="auto" w:fill="EAEAEA" w:themeFill="accent5" w:themeFillTint="33"/>
      </w:tcPr>
    </w:tblStylePr>
    <w:tblStylePr w:type="neCell">
      <w:tblPr/>
      <w:tcPr>
        <w:tcBorders>
          <w:bottom w:val="single" w:sz="4" w:space="0" w:color="C0C0C0" w:themeColor="accent5" w:themeTint="99"/>
        </w:tcBorders>
      </w:tcPr>
    </w:tblStylePr>
    <w:tblStylePr w:type="nwCell">
      <w:tblPr/>
      <w:tcPr>
        <w:tcBorders>
          <w:bottom w:val="single" w:sz="4" w:space="0" w:color="C0C0C0" w:themeColor="accent5" w:themeTint="99"/>
        </w:tcBorders>
      </w:tcPr>
    </w:tblStylePr>
    <w:tblStylePr w:type="seCell">
      <w:tblPr/>
      <w:tcPr>
        <w:tcBorders>
          <w:top w:val="single" w:sz="4" w:space="0" w:color="C0C0C0" w:themeColor="accent5" w:themeTint="99"/>
        </w:tcBorders>
      </w:tcPr>
    </w:tblStylePr>
    <w:tblStylePr w:type="swCell">
      <w:tblPr/>
      <w:tcPr>
        <w:tcBorders>
          <w:top w:val="single" w:sz="4" w:space="0" w:color="C0C0C0" w:themeColor="accent5" w:themeTint="99"/>
        </w:tcBorders>
      </w:tcPr>
    </w:tblStylePr>
  </w:style>
  <w:style w:type="table" w:styleId="GridTable7Colorful-Accent6">
    <w:name w:val="Grid Table 7 Colorful Accent 6"/>
    <w:basedOn w:val="TableNormal"/>
    <w:uiPriority w:val="52"/>
    <w:unhideWhenUsed/>
    <w:rsid w:val="00F978CE"/>
    <w:pPr>
      <w:spacing w:after="0" w:line="240" w:lineRule="auto"/>
    </w:pPr>
    <w:rPr>
      <w:color w:val="929292" w:themeColor="accent6" w:themeShade="BF"/>
    </w:rPr>
    <w:tblPr>
      <w:tblStyleRowBandSize w:val="1"/>
      <w:tblStyleColBandSize w:val="1"/>
      <w:tblBorders>
        <w:top w:val="single" w:sz="4" w:space="0" w:color="DBDBDB" w:themeColor="accent6" w:themeTint="99"/>
        <w:left w:val="single" w:sz="4" w:space="0" w:color="DBDBDB" w:themeColor="accent6" w:themeTint="99"/>
        <w:bottom w:val="single" w:sz="4" w:space="0" w:color="DBDBDB" w:themeColor="accent6" w:themeTint="99"/>
        <w:right w:val="single" w:sz="4" w:space="0" w:color="DBDBDB" w:themeColor="accent6" w:themeTint="99"/>
        <w:insideH w:val="single" w:sz="4" w:space="0" w:color="DBDBDB" w:themeColor="accent6" w:themeTint="99"/>
        <w:insideV w:val="single" w:sz="4" w:space="0" w:color="DBDBDB"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3F3F3" w:themeFill="accent6" w:themeFillTint="33"/>
      </w:tcPr>
    </w:tblStylePr>
    <w:tblStylePr w:type="band1Horz">
      <w:tblPr/>
      <w:tcPr>
        <w:shd w:val="clear" w:color="auto" w:fill="F3F3F3" w:themeFill="accent6" w:themeFillTint="33"/>
      </w:tcPr>
    </w:tblStylePr>
    <w:tblStylePr w:type="neCell">
      <w:tblPr/>
      <w:tcPr>
        <w:tcBorders>
          <w:bottom w:val="single" w:sz="4" w:space="0" w:color="DBDBDB" w:themeColor="accent6" w:themeTint="99"/>
        </w:tcBorders>
      </w:tcPr>
    </w:tblStylePr>
    <w:tblStylePr w:type="nwCell">
      <w:tblPr/>
      <w:tcPr>
        <w:tcBorders>
          <w:bottom w:val="single" w:sz="4" w:space="0" w:color="DBDBDB" w:themeColor="accent6" w:themeTint="99"/>
        </w:tcBorders>
      </w:tcPr>
    </w:tblStylePr>
    <w:tblStylePr w:type="seCell">
      <w:tblPr/>
      <w:tcPr>
        <w:tcBorders>
          <w:top w:val="single" w:sz="4" w:space="0" w:color="DBDBDB" w:themeColor="accent6" w:themeTint="99"/>
        </w:tcBorders>
      </w:tcPr>
    </w:tblStylePr>
    <w:tblStylePr w:type="swCell">
      <w:tblPr/>
      <w:tcPr>
        <w:tcBorders>
          <w:top w:val="single" w:sz="4" w:space="0" w:color="DBDBDB" w:themeColor="accent6" w:themeTint="99"/>
        </w:tcBorders>
      </w:tcPr>
    </w:tblStylePr>
  </w:style>
  <w:style w:type="character" w:styleId="Hashtag">
    <w:name w:val="Hashtag"/>
    <w:basedOn w:val="DefaultParagraphFont"/>
    <w:uiPriority w:val="99"/>
    <w:unhideWhenUsed/>
    <w:rsid w:val="00F978CE"/>
    <w:rPr>
      <w:color w:val="2B579A"/>
      <w:shd w:val="clear" w:color="auto" w:fill="E6E6E6"/>
    </w:rPr>
  </w:style>
  <w:style w:type="character" w:styleId="HTMLAcronym">
    <w:name w:val="HTML Acronym"/>
    <w:basedOn w:val="DefaultParagraphFont"/>
    <w:uiPriority w:val="99"/>
    <w:unhideWhenUsed/>
    <w:rsid w:val="00F978CE"/>
  </w:style>
  <w:style w:type="paragraph" w:styleId="HTMLAddress">
    <w:name w:val="HTML Address"/>
    <w:basedOn w:val="Normal"/>
    <w:uiPriority w:val="99"/>
    <w:unhideWhenUsed/>
    <w:rsid w:val="00F978CE"/>
    <w:rPr>
      <w:i/>
      <w:iCs/>
    </w:rPr>
  </w:style>
  <w:style w:type="character" w:styleId="HTMLCite">
    <w:name w:val="HTML Cite"/>
    <w:basedOn w:val="DefaultParagraphFont"/>
    <w:uiPriority w:val="99"/>
    <w:unhideWhenUsed/>
    <w:rsid w:val="00F978CE"/>
    <w:rPr>
      <w:i/>
      <w:iCs/>
    </w:rPr>
  </w:style>
  <w:style w:type="character" w:styleId="HTMLCode">
    <w:name w:val="HTML Code"/>
    <w:basedOn w:val="DefaultParagraphFont"/>
    <w:uiPriority w:val="99"/>
    <w:unhideWhenUsed/>
    <w:rsid w:val="00F978CE"/>
    <w:rPr>
      <w:rFonts w:ascii="Consolas" w:hAnsi="Consolas"/>
      <w:sz w:val="20"/>
      <w:szCs w:val="20"/>
    </w:rPr>
  </w:style>
  <w:style w:type="character" w:styleId="HTMLDefinition">
    <w:name w:val="HTML Definition"/>
    <w:basedOn w:val="DefaultParagraphFont"/>
    <w:uiPriority w:val="99"/>
    <w:unhideWhenUsed/>
    <w:rsid w:val="00F978CE"/>
    <w:rPr>
      <w:i/>
      <w:iCs/>
    </w:rPr>
  </w:style>
  <w:style w:type="character" w:styleId="HTMLKeyboard">
    <w:name w:val="HTML Keyboard"/>
    <w:basedOn w:val="DefaultParagraphFont"/>
    <w:uiPriority w:val="99"/>
    <w:unhideWhenUsed/>
    <w:rsid w:val="00F978CE"/>
    <w:rPr>
      <w:rFonts w:ascii="Consolas" w:hAnsi="Consolas"/>
      <w:sz w:val="20"/>
      <w:szCs w:val="20"/>
    </w:rPr>
  </w:style>
  <w:style w:type="paragraph" w:styleId="HTMLPreformatted">
    <w:name w:val="HTML Preformatted"/>
    <w:basedOn w:val="Normal"/>
    <w:uiPriority w:val="99"/>
    <w:unhideWhenUsed/>
    <w:rsid w:val="00F978CE"/>
    <w:rPr>
      <w:rFonts w:ascii="Consolas" w:hAnsi="Consolas"/>
      <w:szCs w:val="20"/>
    </w:rPr>
  </w:style>
  <w:style w:type="character" w:styleId="HTMLSample">
    <w:name w:val="HTML Sample"/>
    <w:basedOn w:val="DefaultParagraphFont"/>
    <w:uiPriority w:val="99"/>
    <w:unhideWhenUsed/>
    <w:rsid w:val="00F978CE"/>
    <w:rPr>
      <w:rFonts w:ascii="Consolas" w:hAnsi="Consolas"/>
      <w:sz w:val="24"/>
      <w:szCs w:val="24"/>
    </w:rPr>
  </w:style>
  <w:style w:type="character" w:styleId="HTMLTypewriter">
    <w:name w:val="HTML Typewriter"/>
    <w:basedOn w:val="DefaultParagraphFont"/>
    <w:uiPriority w:val="99"/>
    <w:unhideWhenUsed/>
    <w:rsid w:val="00F978CE"/>
    <w:rPr>
      <w:rFonts w:ascii="Consolas" w:hAnsi="Consolas"/>
      <w:sz w:val="20"/>
      <w:szCs w:val="20"/>
    </w:rPr>
  </w:style>
  <w:style w:type="character" w:styleId="HTMLVariable">
    <w:name w:val="HTML Variable"/>
    <w:basedOn w:val="DefaultParagraphFont"/>
    <w:uiPriority w:val="99"/>
    <w:unhideWhenUsed/>
    <w:rsid w:val="00F978CE"/>
    <w:rPr>
      <w:i/>
      <w:iCs/>
    </w:rPr>
  </w:style>
  <w:style w:type="character" w:styleId="Hyperlink">
    <w:name w:val="Hyperlink"/>
    <w:basedOn w:val="DefaultParagraphFont"/>
    <w:uiPriority w:val="99"/>
    <w:unhideWhenUsed/>
    <w:rsid w:val="00F978CE"/>
    <w:rPr>
      <w:color w:val="D985B2" w:themeColor="hyperlink"/>
      <w:u w:val="single"/>
    </w:rPr>
  </w:style>
  <w:style w:type="paragraph" w:styleId="Index1">
    <w:name w:val="index 1"/>
    <w:basedOn w:val="Normal"/>
    <w:next w:val="Normal"/>
    <w:autoRedefine/>
    <w:uiPriority w:val="99"/>
    <w:unhideWhenUsed/>
    <w:rsid w:val="00F978CE"/>
    <w:pPr>
      <w:ind w:left="200" w:hanging="200"/>
    </w:pPr>
  </w:style>
  <w:style w:type="paragraph" w:styleId="Index2">
    <w:name w:val="index 2"/>
    <w:basedOn w:val="Normal"/>
    <w:next w:val="Normal"/>
    <w:autoRedefine/>
    <w:uiPriority w:val="99"/>
    <w:unhideWhenUsed/>
    <w:rsid w:val="00F978CE"/>
    <w:pPr>
      <w:ind w:left="400" w:hanging="200"/>
    </w:pPr>
  </w:style>
  <w:style w:type="paragraph" w:styleId="Index3">
    <w:name w:val="index 3"/>
    <w:basedOn w:val="Normal"/>
    <w:next w:val="Normal"/>
    <w:autoRedefine/>
    <w:uiPriority w:val="99"/>
    <w:unhideWhenUsed/>
    <w:rsid w:val="00F978CE"/>
    <w:pPr>
      <w:ind w:left="600" w:hanging="200"/>
    </w:pPr>
  </w:style>
  <w:style w:type="paragraph" w:styleId="Index4">
    <w:name w:val="index 4"/>
    <w:basedOn w:val="Normal"/>
    <w:next w:val="Normal"/>
    <w:autoRedefine/>
    <w:uiPriority w:val="99"/>
    <w:unhideWhenUsed/>
    <w:rsid w:val="00F978CE"/>
    <w:pPr>
      <w:ind w:left="800" w:hanging="200"/>
    </w:pPr>
  </w:style>
  <w:style w:type="paragraph" w:styleId="Index5">
    <w:name w:val="index 5"/>
    <w:basedOn w:val="Normal"/>
    <w:next w:val="Normal"/>
    <w:autoRedefine/>
    <w:uiPriority w:val="99"/>
    <w:unhideWhenUsed/>
    <w:rsid w:val="00F978CE"/>
    <w:pPr>
      <w:ind w:left="1000" w:hanging="200"/>
    </w:pPr>
  </w:style>
  <w:style w:type="paragraph" w:styleId="Index6">
    <w:name w:val="index 6"/>
    <w:basedOn w:val="Normal"/>
    <w:next w:val="Normal"/>
    <w:autoRedefine/>
    <w:uiPriority w:val="99"/>
    <w:unhideWhenUsed/>
    <w:rsid w:val="00F978CE"/>
    <w:pPr>
      <w:ind w:left="1200" w:hanging="200"/>
    </w:pPr>
  </w:style>
  <w:style w:type="paragraph" w:styleId="Index7">
    <w:name w:val="index 7"/>
    <w:basedOn w:val="Normal"/>
    <w:next w:val="Normal"/>
    <w:autoRedefine/>
    <w:uiPriority w:val="99"/>
    <w:unhideWhenUsed/>
    <w:rsid w:val="00F978CE"/>
    <w:pPr>
      <w:ind w:left="1400" w:hanging="200"/>
    </w:pPr>
  </w:style>
  <w:style w:type="paragraph" w:styleId="Index8">
    <w:name w:val="index 8"/>
    <w:basedOn w:val="Normal"/>
    <w:next w:val="Normal"/>
    <w:autoRedefine/>
    <w:uiPriority w:val="99"/>
    <w:unhideWhenUsed/>
    <w:rsid w:val="00F978CE"/>
    <w:pPr>
      <w:ind w:left="1600" w:hanging="200"/>
    </w:pPr>
  </w:style>
  <w:style w:type="paragraph" w:styleId="Index9">
    <w:name w:val="index 9"/>
    <w:basedOn w:val="Normal"/>
    <w:next w:val="Normal"/>
    <w:autoRedefine/>
    <w:uiPriority w:val="99"/>
    <w:unhideWhenUsed/>
    <w:rsid w:val="00F978CE"/>
    <w:pPr>
      <w:ind w:left="1800" w:hanging="200"/>
    </w:pPr>
  </w:style>
  <w:style w:type="paragraph" w:styleId="IndexHeading">
    <w:name w:val="index heading"/>
    <w:basedOn w:val="Normal"/>
    <w:next w:val="Index1"/>
    <w:uiPriority w:val="99"/>
    <w:unhideWhenUsed/>
    <w:rsid w:val="00F978CE"/>
    <w:rPr>
      <w:rFonts w:asciiTheme="majorHAnsi" w:eastAsiaTheme="majorEastAsia" w:hAnsiTheme="majorHAnsi" w:cstheme="majorBidi"/>
      <w:b/>
      <w:bCs/>
    </w:rPr>
  </w:style>
  <w:style w:type="character" w:styleId="IntenseEmphasis">
    <w:name w:val="Intense Emphasis"/>
    <w:basedOn w:val="DefaultParagraphFont"/>
    <w:uiPriority w:val="99"/>
    <w:unhideWhenUsed/>
    <w:qFormat/>
    <w:rsid w:val="00F978CE"/>
    <w:rPr>
      <w:i/>
      <w:iCs/>
      <w:color w:val="AF005F" w:themeColor="accent1"/>
    </w:rPr>
  </w:style>
  <w:style w:type="paragraph" w:styleId="IntenseQuote">
    <w:name w:val="Intense Quote"/>
    <w:basedOn w:val="Normal"/>
    <w:next w:val="Normal"/>
    <w:uiPriority w:val="99"/>
    <w:unhideWhenUsed/>
    <w:qFormat/>
    <w:rsid w:val="00F978CE"/>
    <w:pPr>
      <w:pBdr>
        <w:top w:val="single" w:sz="4" w:space="10" w:color="AF005F" w:themeColor="accent1"/>
        <w:bottom w:val="single" w:sz="4" w:space="10" w:color="AF005F" w:themeColor="accent1"/>
      </w:pBdr>
      <w:spacing w:before="360" w:after="360"/>
      <w:ind w:left="864" w:right="864"/>
      <w:jc w:val="center"/>
    </w:pPr>
    <w:rPr>
      <w:i/>
      <w:iCs/>
      <w:color w:val="AF005F" w:themeColor="accent1"/>
    </w:rPr>
  </w:style>
  <w:style w:type="character" w:styleId="IntenseReference">
    <w:name w:val="Intense Reference"/>
    <w:basedOn w:val="DefaultParagraphFont"/>
    <w:uiPriority w:val="99"/>
    <w:unhideWhenUsed/>
    <w:qFormat/>
    <w:rsid w:val="00F978CE"/>
    <w:rPr>
      <w:b/>
      <w:bCs/>
      <w:smallCaps/>
      <w:color w:val="AF005F" w:themeColor="accent1"/>
      <w:spacing w:val="5"/>
    </w:rPr>
  </w:style>
  <w:style w:type="table" w:styleId="LightGrid">
    <w:name w:val="Light Grid"/>
    <w:basedOn w:val="TableNormal"/>
    <w:uiPriority w:val="62"/>
    <w:unhideWhenUsed/>
    <w:rsid w:val="00F978CE"/>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unhideWhenUsed/>
    <w:rsid w:val="00F978CE"/>
    <w:pPr>
      <w:spacing w:after="0" w:line="240" w:lineRule="auto"/>
    </w:pPr>
    <w:tblPr>
      <w:tblStyleRowBandSize w:val="1"/>
      <w:tblStyleColBandSize w:val="1"/>
      <w:tblBorders>
        <w:top w:val="single" w:sz="8" w:space="0" w:color="AF005F" w:themeColor="accent1"/>
        <w:left w:val="single" w:sz="8" w:space="0" w:color="AF005F" w:themeColor="accent1"/>
        <w:bottom w:val="single" w:sz="8" w:space="0" w:color="AF005F" w:themeColor="accent1"/>
        <w:right w:val="single" w:sz="8" w:space="0" w:color="AF005F" w:themeColor="accent1"/>
        <w:insideH w:val="single" w:sz="8" w:space="0" w:color="AF005F" w:themeColor="accent1"/>
        <w:insideV w:val="single" w:sz="8" w:space="0" w:color="AF005F"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F005F" w:themeColor="accent1"/>
          <w:left w:val="single" w:sz="8" w:space="0" w:color="AF005F" w:themeColor="accent1"/>
          <w:bottom w:val="single" w:sz="18" w:space="0" w:color="AF005F" w:themeColor="accent1"/>
          <w:right w:val="single" w:sz="8" w:space="0" w:color="AF005F" w:themeColor="accent1"/>
          <w:insideH w:val="nil"/>
          <w:insideV w:val="single" w:sz="8" w:space="0" w:color="AF005F"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F005F" w:themeColor="accent1"/>
          <w:left w:val="single" w:sz="8" w:space="0" w:color="AF005F" w:themeColor="accent1"/>
          <w:bottom w:val="single" w:sz="8" w:space="0" w:color="AF005F" w:themeColor="accent1"/>
          <w:right w:val="single" w:sz="8" w:space="0" w:color="AF005F" w:themeColor="accent1"/>
          <w:insideH w:val="nil"/>
          <w:insideV w:val="single" w:sz="8" w:space="0" w:color="AF005F"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F005F" w:themeColor="accent1"/>
          <w:left w:val="single" w:sz="8" w:space="0" w:color="AF005F" w:themeColor="accent1"/>
          <w:bottom w:val="single" w:sz="8" w:space="0" w:color="AF005F" w:themeColor="accent1"/>
          <w:right w:val="single" w:sz="8" w:space="0" w:color="AF005F" w:themeColor="accent1"/>
        </w:tcBorders>
      </w:tcPr>
    </w:tblStylePr>
    <w:tblStylePr w:type="band1Vert">
      <w:tblPr/>
      <w:tcPr>
        <w:tcBorders>
          <w:top w:val="single" w:sz="8" w:space="0" w:color="AF005F" w:themeColor="accent1"/>
          <w:left w:val="single" w:sz="8" w:space="0" w:color="AF005F" w:themeColor="accent1"/>
          <w:bottom w:val="single" w:sz="8" w:space="0" w:color="AF005F" w:themeColor="accent1"/>
          <w:right w:val="single" w:sz="8" w:space="0" w:color="AF005F" w:themeColor="accent1"/>
        </w:tcBorders>
        <w:shd w:val="clear" w:color="auto" w:fill="FFACD8" w:themeFill="accent1" w:themeFillTint="3F"/>
      </w:tcPr>
    </w:tblStylePr>
    <w:tblStylePr w:type="band1Horz">
      <w:tblPr/>
      <w:tcPr>
        <w:tcBorders>
          <w:top w:val="single" w:sz="8" w:space="0" w:color="AF005F" w:themeColor="accent1"/>
          <w:left w:val="single" w:sz="8" w:space="0" w:color="AF005F" w:themeColor="accent1"/>
          <w:bottom w:val="single" w:sz="8" w:space="0" w:color="AF005F" w:themeColor="accent1"/>
          <w:right w:val="single" w:sz="8" w:space="0" w:color="AF005F" w:themeColor="accent1"/>
          <w:insideV w:val="single" w:sz="8" w:space="0" w:color="AF005F" w:themeColor="accent1"/>
        </w:tcBorders>
        <w:shd w:val="clear" w:color="auto" w:fill="FFACD8" w:themeFill="accent1" w:themeFillTint="3F"/>
      </w:tcPr>
    </w:tblStylePr>
    <w:tblStylePr w:type="band2Horz">
      <w:tblPr/>
      <w:tcPr>
        <w:tcBorders>
          <w:top w:val="single" w:sz="8" w:space="0" w:color="AF005F" w:themeColor="accent1"/>
          <w:left w:val="single" w:sz="8" w:space="0" w:color="AF005F" w:themeColor="accent1"/>
          <w:bottom w:val="single" w:sz="8" w:space="0" w:color="AF005F" w:themeColor="accent1"/>
          <w:right w:val="single" w:sz="8" w:space="0" w:color="AF005F" w:themeColor="accent1"/>
          <w:insideV w:val="single" w:sz="8" w:space="0" w:color="AF005F" w:themeColor="accent1"/>
        </w:tcBorders>
      </w:tcPr>
    </w:tblStylePr>
  </w:style>
  <w:style w:type="table" w:styleId="LightGrid-Accent2">
    <w:name w:val="Light Grid Accent 2"/>
    <w:basedOn w:val="TableNormal"/>
    <w:uiPriority w:val="62"/>
    <w:unhideWhenUsed/>
    <w:rsid w:val="00F978CE"/>
    <w:pPr>
      <w:spacing w:after="0" w:line="240" w:lineRule="auto"/>
    </w:pPr>
    <w:tblPr>
      <w:tblStyleRowBandSize w:val="1"/>
      <w:tblStyleColBandSize w:val="1"/>
      <w:tblBorders>
        <w:top w:val="single" w:sz="8" w:space="0" w:color="BF337F" w:themeColor="accent2"/>
        <w:left w:val="single" w:sz="8" w:space="0" w:color="BF337F" w:themeColor="accent2"/>
        <w:bottom w:val="single" w:sz="8" w:space="0" w:color="BF337F" w:themeColor="accent2"/>
        <w:right w:val="single" w:sz="8" w:space="0" w:color="BF337F" w:themeColor="accent2"/>
        <w:insideH w:val="single" w:sz="8" w:space="0" w:color="BF337F" w:themeColor="accent2"/>
        <w:insideV w:val="single" w:sz="8" w:space="0" w:color="BF337F"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BF337F" w:themeColor="accent2"/>
          <w:left w:val="single" w:sz="8" w:space="0" w:color="BF337F" w:themeColor="accent2"/>
          <w:bottom w:val="single" w:sz="18" w:space="0" w:color="BF337F" w:themeColor="accent2"/>
          <w:right w:val="single" w:sz="8" w:space="0" w:color="BF337F" w:themeColor="accent2"/>
          <w:insideH w:val="nil"/>
          <w:insideV w:val="single" w:sz="8" w:space="0" w:color="BF337F"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BF337F" w:themeColor="accent2"/>
          <w:left w:val="single" w:sz="8" w:space="0" w:color="BF337F" w:themeColor="accent2"/>
          <w:bottom w:val="single" w:sz="8" w:space="0" w:color="BF337F" w:themeColor="accent2"/>
          <w:right w:val="single" w:sz="8" w:space="0" w:color="BF337F" w:themeColor="accent2"/>
          <w:insideH w:val="nil"/>
          <w:insideV w:val="single" w:sz="8" w:space="0" w:color="BF337F"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BF337F" w:themeColor="accent2"/>
          <w:left w:val="single" w:sz="8" w:space="0" w:color="BF337F" w:themeColor="accent2"/>
          <w:bottom w:val="single" w:sz="8" w:space="0" w:color="BF337F" w:themeColor="accent2"/>
          <w:right w:val="single" w:sz="8" w:space="0" w:color="BF337F" w:themeColor="accent2"/>
        </w:tcBorders>
      </w:tcPr>
    </w:tblStylePr>
    <w:tblStylePr w:type="band1Vert">
      <w:tblPr/>
      <w:tcPr>
        <w:tcBorders>
          <w:top w:val="single" w:sz="8" w:space="0" w:color="BF337F" w:themeColor="accent2"/>
          <w:left w:val="single" w:sz="8" w:space="0" w:color="BF337F" w:themeColor="accent2"/>
          <w:bottom w:val="single" w:sz="8" w:space="0" w:color="BF337F" w:themeColor="accent2"/>
          <w:right w:val="single" w:sz="8" w:space="0" w:color="BF337F" w:themeColor="accent2"/>
        </w:tcBorders>
        <w:shd w:val="clear" w:color="auto" w:fill="F1CADF" w:themeFill="accent2" w:themeFillTint="3F"/>
      </w:tcPr>
    </w:tblStylePr>
    <w:tblStylePr w:type="band1Horz">
      <w:tblPr/>
      <w:tcPr>
        <w:tcBorders>
          <w:top w:val="single" w:sz="8" w:space="0" w:color="BF337F" w:themeColor="accent2"/>
          <w:left w:val="single" w:sz="8" w:space="0" w:color="BF337F" w:themeColor="accent2"/>
          <w:bottom w:val="single" w:sz="8" w:space="0" w:color="BF337F" w:themeColor="accent2"/>
          <w:right w:val="single" w:sz="8" w:space="0" w:color="BF337F" w:themeColor="accent2"/>
          <w:insideV w:val="single" w:sz="8" w:space="0" w:color="BF337F" w:themeColor="accent2"/>
        </w:tcBorders>
        <w:shd w:val="clear" w:color="auto" w:fill="F1CADF" w:themeFill="accent2" w:themeFillTint="3F"/>
      </w:tcPr>
    </w:tblStylePr>
    <w:tblStylePr w:type="band2Horz">
      <w:tblPr/>
      <w:tcPr>
        <w:tcBorders>
          <w:top w:val="single" w:sz="8" w:space="0" w:color="BF337F" w:themeColor="accent2"/>
          <w:left w:val="single" w:sz="8" w:space="0" w:color="BF337F" w:themeColor="accent2"/>
          <w:bottom w:val="single" w:sz="8" w:space="0" w:color="BF337F" w:themeColor="accent2"/>
          <w:right w:val="single" w:sz="8" w:space="0" w:color="BF337F" w:themeColor="accent2"/>
          <w:insideV w:val="single" w:sz="8" w:space="0" w:color="BF337F" w:themeColor="accent2"/>
        </w:tcBorders>
      </w:tcPr>
    </w:tblStylePr>
  </w:style>
  <w:style w:type="table" w:styleId="LightGrid-Accent3">
    <w:name w:val="Light Grid Accent 3"/>
    <w:basedOn w:val="TableNormal"/>
    <w:uiPriority w:val="62"/>
    <w:unhideWhenUsed/>
    <w:rsid w:val="00F978CE"/>
    <w:pPr>
      <w:spacing w:after="0" w:line="240" w:lineRule="auto"/>
    </w:pPr>
    <w:tblPr>
      <w:tblStyleRowBandSize w:val="1"/>
      <w:tblStyleColBandSize w:val="1"/>
      <w:tblBorders>
        <w:top w:val="single" w:sz="8" w:space="0" w:color="CC5C99" w:themeColor="accent3"/>
        <w:left w:val="single" w:sz="8" w:space="0" w:color="CC5C99" w:themeColor="accent3"/>
        <w:bottom w:val="single" w:sz="8" w:space="0" w:color="CC5C99" w:themeColor="accent3"/>
        <w:right w:val="single" w:sz="8" w:space="0" w:color="CC5C99" w:themeColor="accent3"/>
        <w:insideH w:val="single" w:sz="8" w:space="0" w:color="CC5C99" w:themeColor="accent3"/>
        <w:insideV w:val="single" w:sz="8" w:space="0" w:color="CC5C9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C5C99" w:themeColor="accent3"/>
          <w:left w:val="single" w:sz="8" w:space="0" w:color="CC5C99" w:themeColor="accent3"/>
          <w:bottom w:val="single" w:sz="18" w:space="0" w:color="CC5C99" w:themeColor="accent3"/>
          <w:right w:val="single" w:sz="8" w:space="0" w:color="CC5C99" w:themeColor="accent3"/>
          <w:insideH w:val="nil"/>
          <w:insideV w:val="single" w:sz="8" w:space="0" w:color="CC5C9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C5C99" w:themeColor="accent3"/>
          <w:left w:val="single" w:sz="8" w:space="0" w:color="CC5C99" w:themeColor="accent3"/>
          <w:bottom w:val="single" w:sz="8" w:space="0" w:color="CC5C99" w:themeColor="accent3"/>
          <w:right w:val="single" w:sz="8" w:space="0" w:color="CC5C99" w:themeColor="accent3"/>
          <w:insideH w:val="nil"/>
          <w:insideV w:val="single" w:sz="8" w:space="0" w:color="CC5C9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C5C99" w:themeColor="accent3"/>
          <w:left w:val="single" w:sz="8" w:space="0" w:color="CC5C99" w:themeColor="accent3"/>
          <w:bottom w:val="single" w:sz="8" w:space="0" w:color="CC5C99" w:themeColor="accent3"/>
          <w:right w:val="single" w:sz="8" w:space="0" w:color="CC5C99" w:themeColor="accent3"/>
        </w:tcBorders>
      </w:tcPr>
    </w:tblStylePr>
    <w:tblStylePr w:type="band1Vert">
      <w:tblPr/>
      <w:tcPr>
        <w:tcBorders>
          <w:top w:val="single" w:sz="8" w:space="0" w:color="CC5C99" w:themeColor="accent3"/>
          <w:left w:val="single" w:sz="8" w:space="0" w:color="CC5C99" w:themeColor="accent3"/>
          <w:bottom w:val="single" w:sz="8" w:space="0" w:color="CC5C99" w:themeColor="accent3"/>
          <w:right w:val="single" w:sz="8" w:space="0" w:color="CC5C99" w:themeColor="accent3"/>
        </w:tcBorders>
        <w:shd w:val="clear" w:color="auto" w:fill="F2D6E5" w:themeFill="accent3" w:themeFillTint="3F"/>
      </w:tcPr>
    </w:tblStylePr>
    <w:tblStylePr w:type="band1Horz">
      <w:tblPr/>
      <w:tcPr>
        <w:tcBorders>
          <w:top w:val="single" w:sz="8" w:space="0" w:color="CC5C99" w:themeColor="accent3"/>
          <w:left w:val="single" w:sz="8" w:space="0" w:color="CC5C99" w:themeColor="accent3"/>
          <w:bottom w:val="single" w:sz="8" w:space="0" w:color="CC5C99" w:themeColor="accent3"/>
          <w:right w:val="single" w:sz="8" w:space="0" w:color="CC5C99" w:themeColor="accent3"/>
          <w:insideV w:val="single" w:sz="8" w:space="0" w:color="CC5C99" w:themeColor="accent3"/>
        </w:tcBorders>
        <w:shd w:val="clear" w:color="auto" w:fill="F2D6E5" w:themeFill="accent3" w:themeFillTint="3F"/>
      </w:tcPr>
    </w:tblStylePr>
    <w:tblStylePr w:type="band2Horz">
      <w:tblPr/>
      <w:tcPr>
        <w:tcBorders>
          <w:top w:val="single" w:sz="8" w:space="0" w:color="CC5C99" w:themeColor="accent3"/>
          <w:left w:val="single" w:sz="8" w:space="0" w:color="CC5C99" w:themeColor="accent3"/>
          <w:bottom w:val="single" w:sz="8" w:space="0" w:color="CC5C99" w:themeColor="accent3"/>
          <w:right w:val="single" w:sz="8" w:space="0" w:color="CC5C99" w:themeColor="accent3"/>
          <w:insideV w:val="single" w:sz="8" w:space="0" w:color="CC5C99" w:themeColor="accent3"/>
        </w:tcBorders>
      </w:tcPr>
    </w:tblStylePr>
  </w:style>
  <w:style w:type="table" w:styleId="LightGrid-Accent4">
    <w:name w:val="Light Grid Accent 4"/>
    <w:basedOn w:val="TableNormal"/>
    <w:uiPriority w:val="62"/>
    <w:unhideWhenUsed/>
    <w:rsid w:val="00F978CE"/>
    <w:pPr>
      <w:spacing w:after="0" w:line="240" w:lineRule="auto"/>
    </w:pPr>
    <w:tblPr>
      <w:tblStyleRowBandSize w:val="1"/>
      <w:tblStyleColBandSize w:val="1"/>
      <w:tblBorders>
        <w:top w:val="single" w:sz="8" w:space="0" w:color="808080" w:themeColor="accent4"/>
        <w:left w:val="single" w:sz="8" w:space="0" w:color="808080" w:themeColor="accent4"/>
        <w:bottom w:val="single" w:sz="8" w:space="0" w:color="808080" w:themeColor="accent4"/>
        <w:right w:val="single" w:sz="8" w:space="0" w:color="808080" w:themeColor="accent4"/>
        <w:insideH w:val="single" w:sz="8" w:space="0" w:color="808080" w:themeColor="accent4"/>
        <w:insideV w:val="single" w:sz="8" w:space="0" w:color="80808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8080" w:themeColor="accent4"/>
          <w:left w:val="single" w:sz="8" w:space="0" w:color="808080" w:themeColor="accent4"/>
          <w:bottom w:val="single" w:sz="18" w:space="0" w:color="808080" w:themeColor="accent4"/>
          <w:right w:val="single" w:sz="8" w:space="0" w:color="808080" w:themeColor="accent4"/>
          <w:insideH w:val="nil"/>
          <w:insideV w:val="single" w:sz="8" w:space="0" w:color="80808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8080" w:themeColor="accent4"/>
          <w:left w:val="single" w:sz="8" w:space="0" w:color="808080" w:themeColor="accent4"/>
          <w:bottom w:val="single" w:sz="8" w:space="0" w:color="808080" w:themeColor="accent4"/>
          <w:right w:val="single" w:sz="8" w:space="0" w:color="808080" w:themeColor="accent4"/>
          <w:insideH w:val="nil"/>
          <w:insideV w:val="single" w:sz="8" w:space="0" w:color="80808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8080" w:themeColor="accent4"/>
          <w:left w:val="single" w:sz="8" w:space="0" w:color="808080" w:themeColor="accent4"/>
          <w:bottom w:val="single" w:sz="8" w:space="0" w:color="808080" w:themeColor="accent4"/>
          <w:right w:val="single" w:sz="8" w:space="0" w:color="808080" w:themeColor="accent4"/>
        </w:tcBorders>
      </w:tcPr>
    </w:tblStylePr>
    <w:tblStylePr w:type="band1Vert">
      <w:tblPr/>
      <w:tcPr>
        <w:tcBorders>
          <w:top w:val="single" w:sz="8" w:space="0" w:color="808080" w:themeColor="accent4"/>
          <w:left w:val="single" w:sz="8" w:space="0" w:color="808080" w:themeColor="accent4"/>
          <w:bottom w:val="single" w:sz="8" w:space="0" w:color="808080" w:themeColor="accent4"/>
          <w:right w:val="single" w:sz="8" w:space="0" w:color="808080" w:themeColor="accent4"/>
        </w:tcBorders>
        <w:shd w:val="clear" w:color="auto" w:fill="DFDFDF" w:themeFill="accent4" w:themeFillTint="3F"/>
      </w:tcPr>
    </w:tblStylePr>
    <w:tblStylePr w:type="band1Horz">
      <w:tblPr/>
      <w:tcPr>
        <w:tcBorders>
          <w:top w:val="single" w:sz="8" w:space="0" w:color="808080" w:themeColor="accent4"/>
          <w:left w:val="single" w:sz="8" w:space="0" w:color="808080" w:themeColor="accent4"/>
          <w:bottom w:val="single" w:sz="8" w:space="0" w:color="808080" w:themeColor="accent4"/>
          <w:right w:val="single" w:sz="8" w:space="0" w:color="808080" w:themeColor="accent4"/>
          <w:insideV w:val="single" w:sz="8" w:space="0" w:color="808080" w:themeColor="accent4"/>
        </w:tcBorders>
        <w:shd w:val="clear" w:color="auto" w:fill="DFDFDF" w:themeFill="accent4" w:themeFillTint="3F"/>
      </w:tcPr>
    </w:tblStylePr>
    <w:tblStylePr w:type="band2Horz">
      <w:tblPr/>
      <w:tcPr>
        <w:tcBorders>
          <w:top w:val="single" w:sz="8" w:space="0" w:color="808080" w:themeColor="accent4"/>
          <w:left w:val="single" w:sz="8" w:space="0" w:color="808080" w:themeColor="accent4"/>
          <w:bottom w:val="single" w:sz="8" w:space="0" w:color="808080" w:themeColor="accent4"/>
          <w:right w:val="single" w:sz="8" w:space="0" w:color="808080" w:themeColor="accent4"/>
          <w:insideV w:val="single" w:sz="8" w:space="0" w:color="808080" w:themeColor="accent4"/>
        </w:tcBorders>
      </w:tcPr>
    </w:tblStylePr>
  </w:style>
  <w:style w:type="table" w:styleId="LightGrid-Accent5">
    <w:name w:val="Light Grid Accent 5"/>
    <w:basedOn w:val="TableNormal"/>
    <w:uiPriority w:val="62"/>
    <w:unhideWhenUsed/>
    <w:rsid w:val="00F978CE"/>
    <w:pPr>
      <w:spacing w:after="0" w:line="240" w:lineRule="auto"/>
    </w:pPr>
    <w:tblPr>
      <w:tblStyleRowBandSize w:val="1"/>
      <w:tblStyleColBandSize w:val="1"/>
      <w:tblBorders>
        <w:top w:val="single" w:sz="8" w:space="0" w:color="969696" w:themeColor="accent5"/>
        <w:left w:val="single" w:sz="8" w:space="0" w:color="969696" w:themeColor="accent5"/>
        <w:bottom w:val="single" w:sz="8" w:space="0" w:color="969696" w:themeColor="accent5"/>
        <w:right w:val="single" w:sz="8" w:space="0" w:color="969696" w:themeColor="accent5"/>
        <w:insideH w:val="single" w:sz="8" w:space="0" w:color="969696" w:themeColor="accent5"/>
        <w:insideV w:val="single" w:sz="8" w:space="0" w:color="96969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69696" w:themeColor="accent5"/>
          <w:left w:val="single" w:sz="8" w:space="0" w:color="969696" w:themeColor="accent5"/>
          <w:bottom w:val="single" w:sz="18" w:space="0" w:color="969696" w:themeColor="accent5"/>
          <w:right w:val="single" w:sz="8" w:space="0" w:color="969696" w:themeColor="accent5"/>
          <w:insideH w:val="nil"/>
          <w:insideV w:val="single" w:sz="8" w:space="0" w:color="96969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69696" w:themeColor="accent5"/>
          <w:left w:val="single" w:sz="8" w:space="0" w:color="969696" w:themeColor="accent5"/>
          <w:bottom w:val="single" w:sz="8" w:space="0" w:color="969696" w:themeColor="accent5"/>
          <w:right w:val="single" w:sz="8" w:space="0" w:color="969696" w:themeColor="accent5"/>
          <w:insideH w:val="nil"/>
          <w:insideV w:val="single" w:sz="8" w:space="0" w:color="96969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69696" w:themeColor="accent5"/>
          <w:left w:val="single" w:sz="8" w:space="0" w:color="969696" w:themeColor="accent5"/>
          <w:bottom w:val="single" w:sz="8" w:space="0" w:color="969696" w:themeColor="accent5"/>
          <w:right w:val="single" w:sz="8" w:space="0" w:color="969696" w:themeColor="accent5"/>
        </w:tcBorders>
      </w:tcPr>
    </w:tblStylePr>
    <w:tblStylePr w:type="band1Vert">
      <w:tblPr/>
      <w:tcPr>
        <w:tcBorders>
          <w:top w:val="single" w:sz="8" w:space="0" w:color="969696" w:themeColor="accent5"/>
          <w:left w:val="single" w:sz="8" w:space="0" w:color="969696" w:themeColor="accent5"/>
          <w:bottom w:val="single" w:sz="8" w:space="0" w:color="969696" w:themeColor="accent5"/>
          <w:right w:val="single" w:sz="8" w:space="0" w:color="969696" w:themeColor="accent5"/>
        </w:tcBorders>
        <w:shd w:val="clear" w:color="auto" w:fill="E5E5E5" w:themeFill="accent5" w:themeFillTint="3F"/>
      </w:tcPr>
    </w:tblStylePr>
    <w:tblStylePr w:type="band1Horz">
      <w:tblPr/>
      <w:tcPr>
        <w:tcBorders>
          <w:top w:val="single" w:sz="8" w:space="0" w:color="969696" w:themeColor="accent5"/>
          <w:left w:val="single" w:sz="8" w:space="0" w:color="969696" w:themeColor="accent5"/>
          <w:bottom w:val="single" w:sz="8" w:space="0" w:color="969696" w:themeColor="accent5"/>
          <w:right w:val="single" w:sz="8" w:space="0" w:color="969696" w:themeColor="accent5"/>
          <w:insideV w:val="single" w:sz="8" w:space="0" w:color="969696" w:themeColor="accent5"/>
        </w:tcBorders>
        <w:shd w:val="clear" w:color="auto" w:fill="E5E5E5" w:themeFill="accent5" w:themeFillTint="3F"/>
      </w:tcPr>
    </w:tblStylePr>
    <w:tblStylePr w:type="band2Horz">
      <w:tblPr/>
      <w:tcPr>
        <w:tcBorders>
          <w:top w:val="single" w:sz="8" w:space="0" w:color="969696" w:themeColor="accent5"/>
          <w:left w:val="single" w:sz="8" w:space="0" w:color="969696" w:themeColor="accent5"/>
          <w:bottom w:val="single" w:sz="8" w:space="0" w:color="969696" w:themeColor="accent5"/>
          <w:right w:val="single" w:sz="8" w:space="0" w:color="969696" w:themeColor="accent5"/>
          <w:insideV w:val="single" w:sz="8" w:space="0" w:color="969696" w:themeColor="accent5"/>
        </w:tcBorders>
      </w:tcPr>
    </w:tblStylePr>
  </w:style>
  <w:style w:type="table" w:styleId="LightGrid-Accent6">
    <w:name w:val="Light Grid Accent 6"/>
    <w:basedOn w:val="TableNormal"/>
    <w:uiPriority w:val="62"/>
    <w:unhideWhenUsed/>
    <w:rsid w:val="00F978CE"/>
    <w:pPr>
      <w:spacing w:after="0" w:line="240" w:lineRule="auto"/>
    </w:pPr>
    <w:tblPr>
      <w:tblStyleRowBandSize w:val="1"/>
      <w:tblStyleColBandSize w:val="1"/>
      <w:tblBorders>
        <w:top w:val="single" w:sz="8" w:space="0" w:color="C3C3C3" w:themeColor="accent6"/>
        <w:left w:val="single" w:sz="8" w:space="0" w:color="C3C3C3" w:themeColor="accent6"/>
        <w:bottom w:val="single" w:sz="8" w:space="0" w:color="C3C3C3" w:themeColor="accent6"/>
        <w:right w:val="single" w:sz="8" w:space="0" w:color="C3C3C3" w:themeColor="accent6"/>
        <w:insideH w:val="single" w:sz="8" w:space="0" w:color="C3C3C3" w:themeColor="accent6"/>
        <w:insideV w:val="single" w:sz="8" w:space="0" w:color="C3C3C3"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3C3C3" w:themeColor="accent6"/>
          <w:left w:val="single" w:sz="8" w:space="0" w:color="C3C3C3" w:themeColor="accent6"/>
          <w:bottom w:val="single" w:sz="18" w:space="0" w:color="C3C3C3" w:themeColor="accent6"/>
          <w:right w:val="single" w:sz="8" w:space="0" w:color="C3C3C3" w:themeColor="accent6"/>
          <w:insideH w:val="nil"/>
          <w:insideV w:val="single" w:sz="8" w:space="0" w:color="C3C3C3"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3C3C3" w:themeColor="accent6"/>
          <w:left w:val="single" w:sz="8" w:space="0" w:color="C3C3C3" w:themeColor="accent6"/>
          <w:bottom w:val="single" w:sz="8" w:space="0" w:color="C3C3C3" w:themeColor="accent6"/>
          <w:right w:val="single" w:sz="8" w:space="0" w:color="C3C3C3" w:themeColor="accent6"/>
          <w:insideH w:val="nil"/>
          <w:insideV w:val="single" w:sz="8" w:space="0" w:color="C3C3C3"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3C3C3" w:themeColor="accent6"/>
          <w:left w:val="single" w:sz="8" w:space="0" w:color="C3C3C3" w:themeColor="accent6"/>
          <w:bottom w:val="single" w:sz="8" w:space="0" w:color="C3C3C3" w:themeColor="accent6"/>
          <w:right w:val="single" w:sz="8" w:space="0" w:color="C3C3C3" w:themeColor="accent6"/>
        </w:tcBorders>
      </w:tcPr>
    </w:tblStylePr>
    <w:tblStylePr w:type="band1Vert">
      <w:tblPr/>
      <w:tcPr>
        <w:tcBorders>
          <w:top w:val="single" w:sz="8" w:space="0" w:color="C3C3C3" w:themeColor="accent6"/>
          <w:left w:val="single" w:sz="8" w:space="0" w:color="C3C3C3" w:themeColor="accent6"/>
          <w:bottom w:val="single" w:sz="8" w:space="0" w:color="C3C3C3" w:themeColor="accent6"/>
          <w:right w:val="single" w:sz="8" w:space="0" w:color="C3C3C3" w:themeColor="accent6"/>
        </w:tcBorders>
        <w:shd w:val="clear" w:color="auto" w:fill="F0F0F0" w:themeFill="accent6" w:themeFillTint="3F"/>
      </w:tcPr>
    </w:tblStylePr>
    <w:tblStylePr w:type="band1Horz">
      <w:tblPr/>
      <w:tcPr>
        <w:tcBorders>
          <w:top w:val="single" w:sz="8" w:space="0" w:color="C3C3C3" w:themeColor="accent6"/>
          <w:left w:val="single" w:sz="8" w:space="0" w:color="C3C3C3" w:themeColor="accent6"/>
          <w:bottom w:val="single" w:sz="8" w:space="0" w:color="C3C3C3" w:themeColor="accent6"/>
          <w:right w:val="single" w:sz="8" w:space="0" w:color="C3C3C3" w:themeColor="accent6"/>
          <w:insideV w:val="single" w:sz="8" w:space="0" w:color="C3C3C3" w:themeColor="accent6"/>
        </w:tcBorders>
        <w:shd w:val="clear" w:color="auto" w:fill="F0F0F0" w:themeFill="accent6" w:themeFillTint="3F"/>
      </w:tcPr>
    </w:tblStylePr>
    <w:tblStylePr w:type="band2Horz">
      <w:tblPr/>
      <w:tcPr>
        <w:tcBorders>
          <w:top w:val="single" w:sz="8" w:space="0" w:color="C3C3C3" w:themeColor="accent6"/>
          <w:left w:val="single" w:sz="8" w:space="0" w:color="C3C3C3" w:themeColor="accent6"/>
          <w:bottom w:val="single" w:sz="8" w:space="0" w:color="C3C3C3" w:themeColor="accent6"/>
          <w:right w:val="single" w:sz="8" w:space="0" w:color="C3C3C3" w:themeColor="accent6"/>
          <w:insideV w:val="single" w:sz="8" w:space="0" w:color="C3C3C3" w:themeColor="accent6"/>
        </w:tcBorders>
      </w:tcPr>
    </w:tblStylePr>
  </w:style>
  <w:style w:type="table" w:styleId="LightList">
    <w:name w:val="Light List"/>
    <w:basedOn w:val="TableNormal"/>
    <w:uiPriority w:val="61"/>
    <w:unhideWhenUsed/>
    <w:rsid w:val="00F978CE"/>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unhideWhenUsed/>
    <w:rsid w:val="00F978CE"/>
    <w:pPr>
      <w:spacing w:after="0" w:line="240" w:lineRule="auto"/>
    </w:pPr>
    <w:tblPr>
      <w:tblStyleRowBandSize w:val="1"/>
      <w:tblStyleColBandSize w:val="1"/>
      <w:tblBorders>
        <w:top w:val="single" w:sz="8" w:space="0" w:color="AF005F" w:themeColor="accent1"/>
        <w:left w:val="single" w:sz="8" w:space="0" w:color="AF005F" w:themeColor="accent1"/>
        <w:bottom w:val="single" w:sz="8" w:space="0" w:color="AF005F" w:themeColor="accent1"/>
        <w:right w:val="single" w:sz="8" w:space="0" w:color="AF005F" w:themeColor="accent1"/>
      </w:tblBorders>
    </w:tblPr>
    <w:tblStylePr w:type="firstRow">
      <w:pPr>
        <w:spacing w:before="0" w:after="0" w:line="240" w:lineRule="auto"/>
      </w:pPr>
      <w:rPr>
        <w:b/>
        <w:bCs/>
        <w:color w:val="FFFFFF" w:themeColor="background1"/>
      </w:rPr>
      <w:tblPr/>
      <w:tcPr>
        <w:shd w:val="clear" w:color="auto" w:fill="AF005F" w:themeFill="accent1"/>
      </w:tcPr>
    </w:tblStylePr>
    <w:tblStylePr w:type="lastRow">
      <w:pPr>
        <w:spacing w:before="0" w:after="0" w:line="240" w:lineRule="auto"/>
      </w:pPr>
      <w:rPr>
        <w:b/>
        <w:bCs/>
      </w:rPr>
      <w:tblPr/>
      <w:tcPr>
        <w:tcBorders>
          <w:top w:val="double" w:sz="6" w:space="0" w:color="AF005F" w:themeColor="accent1"/>
          <w:left w:val="single" w:sz="8" w:space="0" w:color="AF005F" w:themeColor="accent1"/>
          <w:bottom w:val="single" w:sz="8" w:space="0" w:color="AF005F" w:themeColor="accent1"/>
          <w:right w:val="single" w:sz="8" w:space="0" w:color="AF005F" w:themeColor="accent1"/>
        </w:tcBorders>
      </w:tcPr>
    </w:tblStylePr>
    <w:tblStylePr w:type="firstCol">
      <w:rPr>
        <w:b/>
        <w:bCs/>
      </w:rPr>
    </w:tblStylePr>
    <w:tblStylePr w:type="lastCol">
      <w:rPr>
        <w:b/>
        <w:bCs/>
      </w:rPr>
    </w:tblStylePr>
    <w:tblStylePr w:type="band1Vert">
      <w:tblPr/>
      <w:tcPr>
        <w:tcBorders>
          <w:top w:val="single" w:sz="8" w:space="0" w:color="AF005F" w:themeColor="accent1"/>
          <w:left w:val="single" w:sz="8" w:space="0" w:color="AF005F" w:themeColor="accent1"/>
          <w:bottom w:val="single" w:sz="8" w:space="0" w:color="AF005F" w:themeColor="accent1"/>
          <w:right w:val="single" w:sz="8" w:space="0" w:color="AF005F" w:themeColor="accent1"/>
        </w:tcBorders>
      </w:tcPr>
    </w:tblStylePr>
    <w:tblStylePr w:type="band1Horz">
      <w:tblPr/>
      <w:tcPr>
        <w:tcBorders>
          <w:top w:val="single" w:sz="8" w:space="0" w:color="AF005F" w:themeColor="accent1"/>
          <w:left w:val="single" w:sz="8" w:space="0" w:color="AF005F" w:themeColor="accent1"/>
          <w:bottom w:val="single" w:sz="8" w:space="0" w:color="AF005F" w:themeColor="accent1"/>
          <w:right w:val="single" w:sz="8" w:space="0" w:color="AF005F" w:themeColor="accent1"/>
        </w:tcBorders>
      </w:tcPr>
    </w:tblStylePr>
  </w:style>
  <w:style w:type="table" w:styleId="LightList-Accent2">
    <w:name w:val="Light List Accent 2"/>
    <w:basedOn w:val="TableNormal"/>
    <w:uiPriority w:val="61"/>
    <w:unhideWhenUsed/>
    <w:rsid w:val="00F978CE"/>
    <w:pPr>
      <w:spacing w:after="0" w:line="240" w:lineRule="auto"/>
    </w:pPr>
    <w:tblPr>
      <w:tblStyleRowBandSize w:val="1"/>
      <w:tblStyleColBandSize w:val="1"/>
      <w:tblBorders>
        <w:top w:val="single" w:sz="8" w:space="0" w:color="BF337F" w:themeColor="accent2"/>
        <w:left w:val="single" w:sz="8" w:space="0" w:color="BF337F" w:themeColor="accent2"/>
        <w:bottom w:val="single" w:sz="8" w:space="0" w:color="BF337F" w:themeColor="accent2"/>
        <w:right w:val="single" w:sz="8" w:space="0" w:color="BF337F" w:themeColor="accent2"/>
      </w:tblBorders>
    </w:tblPr>
    <w:tblStylePr w:type="firstRow">
      <w:pPr>
        <w:spacing w:before="0" w:after="0" w:line="240" w:lineRule="auto"/>
      </w:pPr>
      <w:rPr>
        <w:b/>
        <w:bCs/>
        <w:color w:val="FFFFFF" w:themeColor="background1"/>
      </w:rPr>
      <w:tblPr/>
      <w:tcPr>
        <w:shd w:val="clear" w:color="auto" w:fill="BF337F" w:themeFill="accent2"/>
      </w:tcPr>
    </w:tblStylePr>
    <w:tblStylePr w:type="lastRow">
      <w:pPr>
        <w:spacing w:before="0" w:after="0" w:line="240" w:lineRule="auto"/>
      </w:pPr>
      <w:rPr>
        <w:b/>
        <w:bCs/>
      </w:rPr>
      <w:tblPr/>
      <w:tcPr>
        <w:tcBorders>
          <w:top w:val="double" w:sz="6" w:space="0" w:color="BF337F" w:themeColor="accent2"/>
          <w:left w:val="single" w:sz="8" w:space="0" w:color="BF337F" w:themeColor="accent2"/>
          <w:bottom w:val="single" w:sz="8" w:space="0" w:color="BF337F" w:themeColor="accent2"/>
          <w:right w:val="single" w:sz="8" w:space="0" w:color="BF337F" w:themeColor="accent2"/>
        </w:tcBorders>
      </w:tcPr>
    </w:tblStylePr>
    <w:tblStylePr w:type="firstCol">
      <w:rPr>
        <w:b/>
        <w:bCs/>
      </w:rPr>
    </w:tblStylePr>
    <w:tblStylePr w:type="lastCol">
      <w:rPr>
        <w:b/>
        <w:bCs/>
      </w:rPr>
    </w:tblStylePr>
    <w:tblStylePr w:type="band1Vert">
      <w:tblPr/>
      <w:tcPr>
        <w:tcBorders>
          <w:top w:val="single" w:sz="8" w:space="0" w:color="BF337F" w:themeColor="accent2"/>
          <w:left w:val="single" w:sz="8" w:space="0" w:color="BF337F" w:themeColor="accent2"/>
          <w:bottom w:val="single" w:sz="8" w:space="0" w:color="BF337F" w:themeColor="accent2"/>
          <w:right w:val="single" w:sz="8" w:space="0" w:color="BF337F" w:themeColor="accent2"/>
        </w:tcBorders>
      </w:tcPr>
    </w:tblStylePr>
    <w:tblStylePr w:type="band1Horz">
      <w:tblPr/>
      <w:tcPr>
        <w:tcBorders>
          <w:top w:val="single" w:sz="8" w:space="0" w:color="BF337F" w:themeColor="accent2"/>
          <w:left w:val="single" w:sz="8" w:space="0" w:color="BF337F" w:themeColor="accent2"/>
          <w:bottom w:val="single" w:sz="8" w:space="0" w:color="BF337F" w:themeColor="accent2"/>
          <w:right w:val="single" w:sz="8" w:space="0" w:color="BF337F" w:themeColor="accent2"/>
        </w:tcBorders>
      </w:tcPr>
    </w:tblStylePr>
  </w:style>
  <w:style w:type="table" w:styleId="LightList-Accent3">
    <w:name w:val="Light List Accent 3"/>
    <w:basedOn w:val="TableNormal"/>
    <w:uiPriority w:val="61"/>
    <w:unhideWhenUsed/>
    <w:rsid w:val="00F978CE"/>
    <w:pPr>
      <w:spacing w:after="0" w:line="240" w:lineRule="auto"/>
    </w:pPr>
    <w:tblPr>
      <w:tblStyleRowBandSize w:val="1"/>
      <w:tblStyleColBandSize w:val="1"/>
      <w:tblBorders>
        <w:top w:val="single" w:sz="8" w:space="0" w:color="CC5C99" w:themeColor="accent3"/>
        <w:left w:val="single" w:sz="8" w:space="0" w:color="CC5C99" w:themeColor="accent3"/>
        <w:bottom w:val="single" w:sz="8" w:space="0" w:color="CC5C99" w:themeColor="accent3"/>
        <w:right w:val="single" w:sz="8" w:space="0" w:color="CC5C99" w:themeColor="accent3"/>
      </w:tblBorders>
    </w:tblPr>
    <w:tblStylePr w:type="firstRow">
      <w:pPr>
        <w:spacing w:before="0" w:after="0" w:line="240" w:lineRule="auto"/>
      </w:pPr>
      <w:rPr>
        <w:b/>
        <w:bCs/>
        <w:color w:val="FFFFFF" w:themeColor="background1"/>
      </w:rPr>
      <w:tblPr/>
      <w:tcPr>
        <w:shd w:val="clear" w:color="auto" w:fill="CC5C99" w:themeFill="accent3"/>
      </w:tcPr>
    </w:tblStylePr>
    <w:tblStylePr w:type="lastRow">
      <w:pPr>
        <w:spacing w:before="0" w:after="0" w:line="240" w:lineRule="auto"/>
      </w:pPr>
      <w:rPr>
        <w:b/>
        <w:bCs/>
      </w:rPr>
      <w:tblPr/>
      <w:tcPr>
        <w:tcBorders>
          <w:top w:val="double" w:sz="6" w:space="0" w:color="CC5C99" w:themeColor="accent3"/>
          <w:left w:val="single" w:sz="8" w:space="0" w:color="CC5C99" w:themeColor="accent3"/>
          <w:bottom w:val="single" w:sz="8" w:space="0" w:color="CC5C99" w:themeColor="accent3"/>
          <w:right w:val="single" w:sz="8" w:space="0" w:color="CC5C99" w:themeColor="accent3"/>
        </w:tcBorders>
      </w:tcPr>
    </w:tblStylePr>
    <w:tblStylePr w:type="firstCol">
      <w:rPr>
        <w:b/>
        <w:bCs/>
      </w:rPr>
    </w:tblStylePr>
    <w:tblStylePr w:type="lastCol">
      <w:rPr>
        <w:b/>
        <w:bCs/>
      </w:rPr>
    </w:tblStylePr>
    <w:tblStylePr w:type="band1Vert">
      <w:tblPr/>
      <w:tcPr>
        <w:tcBorders>
          <w:top w:val="single" w:sz="8" w:space="0" w:color="CC5C99" w:themeColor="accent3"/>
          <w:left w:val="single" w:sz="8" w:space="0" w:color="CC5C99" w:themeColor="accent3"/>
          <w:bottom w:val="single" w:sz="8" w:space="0" w:color="CC5C99" w:themeColor="accent3"/>
          <w:right w:val="single" w:sz="8" w:space="0" w:color="CC5C99" w:themeColor="accent3"/>
        </w:tcBorders>
      </w:tcPr>
    </w:tblStylePr>
    <w:tblStylePr w:type="band1Horz">
      <w:tblPr/>
      <w:tcPr>
        <w:tcBorders>
          <w:top w:val="single" w:sz="8" w:space="0" w:color="CC5C99" w:themeColor="accent3"/>
          <w:left w:val="single" w:sz="8" w:space="0" w:color="CC5C99" w:themeColor="accent3"/>
          <w:bottom w:val="single" w:sz="8" w:space="0" w:color="CC5C99" w:themeColor="accent3"/>
          <w:right w:val="single" w:sz="8" w:space="0" w:color="CC5C99" w:themeColor="accent3"/>
        </w:tcBorders>
      </w:tcPr>
    </w:tblStylePr>
  </w:style>
  <w:style w:type="table" w:styleId="LightList-Accent4">
    <w:name w:val="Light List Accent 4"/>
    <w:basedOn w:val="TableNormal"/>
    <w:uiPriority w:val="61"/>
    <w:unhideWhenUsed/>
    <w:rsid w:val="00F978CE"/>
    <w:pPr>
      <w:spacing w:after="0" w:line="240" w:lineRule="auto"/>
    </w:pPr>
    <w:tblPr>
      <w:tblStyleRowBandSize w:val="1"/>
      <w:tblStyleColBandSize w:val="1"/>
      <w:tblBorders>
        <w:top w:val="single" w:sz="8" w:space="0" w:color="808080" w:themeColor="accent4"/>
        <w:left w:val="single" w:sz="8" w:space="0" w:color="808080" w:themeColor="accent4"/>
        <w:bottom w:val="single" w:sz="8" w:space="0" w:color="808080" w:themeColor="accent4"/>
        <w:right w:val="single" w:sz="8" w:space="0" w:color="808080" w:themeColor="accent4"/>
      </w:tblBorders>
    </w:tblPr>
    <w:tblStylePr w:type="firstRow">
      <w:pPr>
        <w:spacing w:before="0" w:after="0" w:line="240" w:lineRule="auto"/>
      </w:pPr>
      <w:rPr>
        <w:b/>
        <w:bCs/>
        <w:color w:val="FFFFFF" w:themeColor="background1"/>
      </w:rPr>
      <w:tblPr/>
      <w:tcPr>
        <w:shd w:val="clear" w:color="auto" w:fill="808080" w:themeFill="accent4"/>
      </w:tcPr>
    </w:tblStylePr>
    <w:tblStylePr w:type="lastRow">
      <w:pPr>
        <w:spacing w:before="0" w:after="0" w:line="240" w:lineRule="auto"/>
      </w:pPr>
      <w:rPr>
        <w:b/>
        <w:bCs/>
      </w:rPr>
      <w:tblPr/>
      <w:tcPr>
        <w:tcBorders>
          <w:top w:val="double" w:sz="6" w:space="0" w:color="808080" w:themeColor="accent4"/>
          <w:left w:val="single" w:sz="8" w:space="0" w:color="808080" w:themeColor="accent4"/>
          <w:bottom w:val="single" w:sz="8" w:space="0" w:color="808080" w:themeColor="accent4"/>
          <w:right w:val="single" w:sz="8" w:space="0" w:color="808080" w:themeColor="accent4"/>
        </w:tcBorders>
      </w:tcPr>
    </w:tblStylePr>
    <w:tblStylePr w:type="firstCol">
      <w:rPr>
        <w:b/>
        <w:bCs/>
      </w:rPr>
    </w:tblStylePr>
    <w:tblStylePr w:type="lastCol">
      <w:rPr>
        <w:b/>
        <w:bCs/>
      </w:rPr>
    </w:tblStylePr>
    <w:tblStylePr w:type="band1Vert">
      <w:tblPr/>
      <w:tcPr>
        <w:tcBorders>
          <w:top w:val="single" w:sz="8" w:space="0" w:color="808080" w:themeColor="accent4"/>
          <w:left w:val="single" w:sz="8" w:space="0" w:color="808080" w:themeColor="accent4"/>
          <w:bottom w:val="single" w:sz="8" w:space="0" w:color="808080" w:themeColor="accent4"/>
          <w:right w:val="single" w:sz="8" w:space="0" w:color="808080" w:themeColor="accent4"/>
        </w:tcBorders>
      </w:tcPr>
    </w:tblStylePr>
    <w:tblStylePr w:type="band1Horz">
      <w:tblPr/>
      <w:tcPr>
        <w:tcBorders>
          <w:top w:val="single" w:sz="8" w:space="0" w:color="808080" w:themeColor="accent4"/>
          <w:left w:val="single" w:sz="8" w:space="0" w:color="808080" w:themeColor="accent4"/>
          <w:bottom w:val="single" w:sz="8" w:space="0" w:color="808080" w:themeColor="accent4"/>
          <w:right w:val="single" w:sz="8" w:space="0" w:color="808080" w:themeColor="accent4"/>
        </w:tcBorders>
      </w:tcPr>
    </w:tblStylePr>
  </w:style>
  <w:style w:type="table" w:styleId="LightList-Accent5">
    <w:name w:val="Light List Accent 5"/>
    <w:basedOn w:val="TableNormal"/>
    <w:uiPriority w:val="61"/>
    <w:unhideWhenUsed/>
    <w:rsid w:val="00F978CE"/>
    <w:pPr>
      <w:spacing w:after="0" w:line="240" w:lineRule="auto"/>
    </w:pPr>
    <w:tblPr>
      <w:tblStyleRowBandSize w:val="1"/>
      <w:tblStyleColBandSize w:val="1"/>
      <w:tblBorders>
        <w:top w:val="single" w:sz="8" w:space="0" w:color="969696" w:themeColor="accent5"/>
        <w:left w:val="single" w:sz="8" w:space="0" w:color="969696" w:themeColor="accent5"/>
        <w:bottom w:val="single" w:sz="8" w:space="0" w:color="969696" w:themeColor="accent5"/>
        <w:right w:val="single" w:sz="8" w:space="0" w:color="969696" w:themeColor="accent5"/>
      </w:tblBorders>
    </w:tblPr>
    <w:tblStylePr w:type="firstRow">
      <w:pPr>
        <w:spacing w:before="0" w:after="0" w:line="240" w:lineRule="auto"/>
      </w:pPr>
      <w:rPr>
        <w:b/>
        <w:bCs/>
        <w:color w:val="FFFFFF" w:themeColor="background1"/>
      </w:rPr>
      <w:tblPr/>
      <w:tcPr>
        <w:shd w:val="clear" w:color="auto" w:fill="969696" w:themeFill="accent5"/>
      </w:tcPr>
    </w:tblStylePr>
    <w:tblStylePr w:type="lastRow">
      <w:pPr>
        <w:spacing w:before="0" w:after="0" w:line="240" w:lineRule="auto"/>
      </w:pPr>
      <w:rPr>
        <w:b/>
        <w:bCs/>
      </w:rPr>
      <w:tblPr/>
      <w:tcPr>
        <w:tcBorders>
          <w:top w:val="double" w:sz="6" w:space="0" w:color="969696" w:themeColor="accent5"/>
          <w:left w:val="single" w:sz="8" w:space="0" w:color="969696" w:themeColor="accent5"/>
          <w:bottom w:val="single" w:sz="8" w:space="0" w:color="969696" w:themeColor="accent5"/>
          <w:right w:val="single" w:sz="8" w:space="0" w:color="969696" w:themeColor="accent5"/>
        </w:tcBorders>
      </w:tcPr>
    </w:tblStylePr>
    <w:tblStylePr w:type="firstCol">
      <w:rPr>
        <w:b/>
        <w:bCs/>
      </w:rPr>
    </w:tblStylePr>
    <w:tblStylePr w:type="lastCol">
      <w:rPr>
        <w:b/>
        <w:bCs/>
      </w:rPr>
    </w:tblStylePr>
    <w:tblStylePr w:type="band1Vert">
      <w:tblPr/>
      <w:tcPr>
        <w:tcBorders>
          <w:top w:val="single" w:sz="8" w:space="0" w:color="969696" w:themeColor="accent5"/>
          <w:left w:val="single" w:sz="8" w:space="0" w:color="969696" w:themeColor="accent5"/>
          <w:bottom w:val="single" w:sz="8" w:space="0" w:color="969696" w:themeColor="accent5"/>
          <w:right w:val="single" w:sz="8" w:space="0" w:color="969696" w:themeColor="accent5"/>
        </w:tcBorders>
      </w:tcPr>
    </w:tblStylePr>
    <w:tblStylePr w:type="band1Horz">
      <w:tblPr/>
      <w:tcPr>
        <w:tcBorders>
          <w:top w:val="single" w:sz="8" w:space="0" w:color="969696" w:themeColor="accent5"/>
          <w:left w:val="single" w:sz="8" w:space="0" w:color="969696" w:themeColor="accent5"/>
          <w:bottom w:val="single" w:sz="8" w:space="0" w:color="969696" w:themeColor="accent5"/>
          <w:right w:val="single" w:sz="8" w:space="0" w:color="969696" w:themeColor="accent5"/>
        </w:tcBorders>
      </w:tcPr>
    </w:tblStylePr>
  </w:style>
  <w:style w:type="table" w:styleId="LightList-Accent6">
    <w:name w:val="Light List Accent 6"/>
    <w:basedOn w:val="TableNormal"/>
    <w:uiPriority w:val="61"/>
    <w:unhideWhenUsed/>
    <w:rsid w:val="00F978CE"/>
    <w:pPr>
      <w:spacing w:after="0" w:line="240" w:lineRule="auto"/>
    </w:pPr>
    <w:tblPr>
      <w:tblStyleRowBandSize w:val="1"/>
      <w:tblStyleColBandSize w:val="1"/>
      <w:tblBorders>
        <w:top w:val="single" w:sz="8" w:space="0" w:color="C3C3C3" w:themeColor="accent6"/>
        <w:left w:val="single" w:sz="8" w:space="0" w:color="C3C3C3" w:themeColor="accent6"/>
        <w:bottom w:val="single" w:sz="8" w:space="0" w:color="C3C3C3" w:themeColor="accent6"/>
        <w:right w:val="single" w:sz="8" w:space="0" w:color="C3C3C3" w:themeColor="accent6"/>
      </w:tblBorders>
    </w:tblPr>
    <w:tblStylePr w:type="firstRow">
      <w:pPr>
        <w:spacing w:before="0" w:after="0" w:line="240" w:lineRule="auto"/>
      </w:pPr>
      <w:rPr>
        <w:b/>
        <w:bCs/>
        <w:color w:val="FFFFFF" w:themeColor="background1"/>
      </w:rPr>
      <w:tblPr/>
      <w:tcPr>
        <w:shd w:val="clear" w:color="auto" w:fill="C3C3C3" w:themeFill="accent6"/>
      </w:tcPr>
    </w:tblStylePr>
    <w:tblStylePr w:type="lastRow">
      <w:pPr>
        <w:spacing w:before="0" w:after="0" w:line="240" w:lineRule="auto"/>
      </w:pPr>
      <w:rPr>
        <w:b/>
        <w:bCs/>
      </w:rPr>
      <w:tblPr/>
      <w:tcPr>
        <w:tcBorders>
          <w:top w:val="double" w:sz="6" w:space="0" w:color="C3C3C3" w:themeColor="accent6"/>
          <w:left w:val="single" w:sz="8" w:space="0" w:color="C3C3C3" w:themeColor="accent6"/>
          <w:bottom w:val="single" w:sz="8" w:space="0" w:color="C3C3C3" w:themeColor="accent6"/>
          <w:right w:val="single" w:sz="8" w:space="0" w:color="C3C3C3" w:themeColor="accent6"/>
        </w:tcBorders>
      </w:tcPr>
    </w:tblStylePr>
    <w:tblStylePr w:type="firstCol">
      <w:rPr>
        <w:b/>
        <w:bCs/>
      </w:rPr>
    </w:tblStylePr>
    <w:tblStylePr w:type="lastCol">
      <w:rPr>
        <w:b/>
        <w:bCs/>
      </w:rPr>
    </w:tblStylePr>
    <w:tblStylePr w:type="band1Vert">
      <w:tblPr/>
      <w:tcPr>
        <w:tcBorders>
          <w:top w:val="single" w:sz="8" w:space="0" w:color="C3C3C3" w:themeColor="accent6"/>
          <w:left w:val="single" w:sz="8" w:space="0" w:color="C3C3C3" w:themeColor="accent6"/>
          <w:bottom w:val="single" w:sz="8" w:space="0" w:color="C3C3C3" w:themeColor="accent6"/>
          <w:right w:val="single" w:sz="8" w:space="0" w:color="C3C3C3" w:themeColor="accent6"/>
        </w:tcBorders>
      </w:tcPr>
    </w:tblStylePr>
    <w:tblStylePr w:type="band1Horz">
      <w:tblPr/>
      <w:tcPr>
        <w:tcBorders>
          <w:top w:val="single" w:sz="8" w:space="0" w:color="C3C3C3" w:themeColor="accent6"/>
          <w:left w:val="single" w:sz="8" w:space="0" w:color="C3C3C3" w:themeColor="accent6"/>
          <w:bottom w:val="single" w:sz="8" w:space="0" w:color="C3C3C3" w:themeColor="accent6"/>
          <w:right w:val="single" w:sz="8" w:space="0" w:color="C3C3C3" w:themeColor="accent6"/>
        </w:tcBorders>
      </w:tcPr>
    </w:tblStylePr>
  </w:style>
  <w:style w:type="table" w:styleId="LightShading">
    <w:name w:val="Light Shading"/>
    <w:basedOn w:val="TableNormal"/>
    <w:uiPriority w:val="60"/>
    <w:unhideWhenUsed/>
    <w:rsid w:val="00F978CE"/>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unhideWhenUsed/>
    <w:rsid w:val="00F978CE"/>
    <w:pPr>
      <w:spacing w:after="0" w:line="240" w:lineRule="auto"/>
    </w:pPr>
    <w:rPr>
      <w:color w:val="830046" w:themeColor="accent1" w:themeShade="BF"/>
    </w:rPr>
    <w:tblPr>
      <w:tblStyleRowBandSize w:val="1"/>
      <w:tblStyleColBandSize w:val="1"/>
      <w:tblBorders>
        <w:top w:val="single" w:sz="8" w:space="0" w:color="AF005F" w:themeColor="accent1"/>
        <w:bottom w:val="single" w:sz="8" w:space="0" w:color="AF005F" w:themeColor="accent1"/>
      </w:tblBorders>
    </w:tblPr>
    <w:tblStylePr w:type="firstRow">
      <w:pPr>
        <w:spacing w:before="0" w:after="0" w:line="240" w:lineRule="auto"/>
      </w:pPr>
      <w:rPr>
        <w:b/>
        <w:bCs/>
      </w:rPr>
      <w:tblPr/>
      <w:tcPr>
        <w:tcBorders>
          <w:top w:val="single" w:sz="8" w:space="0" w:color="AF005F" w:themeColor="accent1"/>
          <w:left w:val="nil"/>
          <w:bottom w:val="single" w:sz="8" w:space="0" w:color="AF005F" w:themeColor="accent1"/>
          <w:right w:val="nil"/>
          <w:insideH w:val="nil"/>
          <w:insideV w:val="nil"/>
        </w:tcBorders>
      </w:tcPr>
    </w:tblStylePr>
    <w:tblStylePr w:type="lastRow">
      <w:pPr>
        <w:spacing w:before="0" w:after="0" w:line="240" w:lineRule="auto"/>
      </w:pPr>
      <w:rPr>
        <w:b/>
        <w:bCs/>
      </w:rPr>
      <w:tblPr/>
      <w:tcPr>
        <w:tcBorders>
          <w:top w:val="single" w:sz="8" w:space="0" w:color="AF005F" w:themeColor="accent1"/>
          <w:left w:val="nil"/>
          <w:bottom w:val="single" w:sz="8" w:space="0" w:color="AF005F"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ACD8" w:themeFill="accent1" w:themeFillTint="3F"/>
      </w:tcPr>
    </w:tblStylePr>
    <w:tblStylePr w:type="band1Horz">
      <w:tblPr/>
      <w:tcPr>
        <w:tcBorders>
          <w:left w:val="nil"/>
          <w:right w:val="nil"/>
          <w:insideH w:val="nil"/>
          <w:insideV w:val="nil"/>
        </w:tcBorders>
        <w:shd w:val="clear" w:color="auto" w:fill="FFACD8" w:themeFill="accent1" w:themeFillTint="3F"/>
      </w:tcPr>
    </w:tblStylePr>
  </w:style>
  <w:style w:type="table" w:styleId="LightShading-Accent2">
    <w:name w:val="Light Shading Accent 2"/>
    <w:basedOn w:val="TableNormal"/>
    <w:uiPriority w:val="60"/>
    <w:unhideWhenUsed/>
    <w:rsid w:val="00F978CE"/>
    <w:pPr>
      <w:spacing w:after="0" w:line="240" w:lineRule="auto"/>
    </w:pPr>
    <w:rPr>
      <w:color w:val="8E265E" w:themeColor="accent2" w:themeShade="BF"/>
    </w:rPr>
    <w:tblPr>
      <w:tblStyleRowBandSize w:val="1"/>
      <w:tblStyleColBandSize w:val="1"/>
      <w:tblBorders>
        <w:top w:val="single" w:sz="8" w:space="0" w:color="BF337F" w:themeColor="accent2"/>
        <w:bottom w:val="single" w:sz="8" w:space="0" w:color="BF337F" w:themeColor="accent2"/>
      </w:tblBorders>
    </w:tblPr>
    <w:tblStylePr w:type="firstRow">
      <w:pPr>
        <w:spacing w:before="0" w:after="0" w:line="240" w:lineRule="auto"/>
      </w:pPr>
      <w:rPr>
        <w:b/>
        <w:bCs/>
      </w:rPr>
      <w:tblPr/>
      <w:tcPr>
        <w:tcBorders>
          <w:top w:val="single" w:sz="8" w:space="0" w:color="BF337F" w:themeColor="accent2"/>
          <w:left w:val="nil"/>
          <w:bottom w:val="single" w:sz="8" w:space="0" w:color="BF337F" w:themeColor="accent2"/>
          <w:right w:val="nil"/>
          <w:insideH w:val="nil"/>
          <w:insideV w:val="nil"/>
        </w:tcBorders>
      </w:tcPr>
    </w:tblStylePr>
    <w:tblStylePr w:type="lastRow">
      <w:pPr>
        <w:spacing w:before="0" w:after="0" w:line="240" w:lineRule="auto"/>
      </w:pPr>
      <w:rPr>
        <w:b/>
        <w:bCs/>
      </w:rPr>
      <w:tblPr/>
      <w:tcPr>
        <w:tcBorders>
          <w:top w:val="single" w:sz="8" w:space="0" w:color="BF337F" w:themeColor="accent2"/>
          <w:left w:val="nil"/>
          <w:bottom w:val="single" w:sz="8" w:space="0" w:color="BF337F"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1CADF" w:themeFill="accent2" w:themeFillTint="3F"/>
      </w:tcPr>
    </w:tblStylePr>
    <w:tblStylePr w:type="band1Horz">
      <w:tblPr/>
      <w:tcPr>
        <w:tcBorders>
          <w:left w:val="nil"/>
          <w:right w:val="nil"/>
          <w:insideH w:val="nil"/>
          <w:insideV w:val="nil"/>
        </w:tcBorders>
        <w:shd w:val="clear" w:color="auto" w:fill="F1CADF" w:themeFill="accent2" w:themeFillTint="3F"/>
      </w:tcPr>
    </w:tblStylePr>
  </w:style>
  <w:style w:type="table" w:styleId="LightShading-Accent3">
    <w:name w:val="Light Shading Accent 3"/>
    <w:basedOn w:val="TableNormal"/>
    <w:uiPriority w:val="60"/>
    <w:unhideWhenUsed/>
    <w:rsid w:val="00F978CE"/>
    <w:pPr>
      <w:spacing w:after="0" w:line="240" w:lineRule="auto"/>
    </w:pPr>
    <w:rPr>
      <w:color w:val="A83573" w:themeColor="accent3" w:themeShade="BF"/>
    </w:rPr>
    <w:tblPr>
      <w:tblStyleRowBandSize w:val="1"/>
      <w:tblStyleColBandSize w:val="1"/>
      <w:tblBorders>
        <w:top w:val="single" w:sz="8" w:space="0" w:color="CC5C99" w:themeColor="accent3"/>
        <w:bottom w:val="single" w:sz="8" w:space="0" w:color="CC5C99" w:themeColor="accent3"/>
      </w:tblBorders>
    </w:tblPr>
    <w:tblStylePr w:type="firstRow">
      <w:pPr>
        <w:spacing w:before="0" w:after="0" w:line="240" w:lineRule="auto"/>
      </w:pPr>
      <w:rPr>
        <w:b/>
        <w:bCs/>
      </w:rPr>
      <w:tblPr/>
      <w:tcPr>
        <w:tcBorders>
          <w:top w:val="single" w:sz="8" w:space="0" w:color="CC5C99" w:themeColor="accent3"/>
          <w:left w:val="nil"/>
          <w:bottom w:val="single" w:sz="8" w:space="0" w:color="CC5C99" w:themeColor="accent3"/>
          <w:right w:val="nil"/>
          <w:insideH w:val="nil"/>
          <w:insideV w:val="nil"/>
        </w:tcBorders>
      </w:tcPr>
    </w:tblStylePr>
    <w:tblStylePr w:type="lastRow">
      <w:pPr>
        <w:spacing w:before="0" w:after="0" w:line="240" w:lineRule="auto"/>
      </w:pPr>
      <w:rPr>
        <w:b/>
        <w:bCs/>
      </w:rPr>
      <w:tblPr/>
      <w:tcPr>
        <w:tcBorders>
          <w:top w:val="single" w:sz="8" w:space="0" w:color="CC5C99" w:themeColor="accent3"/>
          <w:left w:val="nil"/>
          <w:bottom w:val="single" w:sz="8" w:space="0" w:color="CC5C9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2D6E5" w:themeFill="accent3" w:themeFillTint="3F"/>
      </w:tcPr>
    </w:tblStylePr>
    <w:tblStylePr w:type="band1Horz">
      <w:tblPr/>
      <w:tcPr>
        <w:tcBorders>
          <w:left w:val="nil"/>
          <w:right w:val="nil"/>
          <w:insideH w:val="nil"/>
          <w:insideV w:val="nil"/>
        </w:tcBorders>
        <w:shd w:val="clear" w:color="auto" w:fill="F2D6E5" w:themeFill="accent3" w:themeFillTint="3F"/>
      </w:tcPr>
    </w:tblStylePr>
  </w:style>
  <w:style w:type="table" w:styleId="LightShading-Accent4">
    <w:name w:val="Light Shading Accent 4"/>
    <w:basedOn w:val="TableNormal"/>
    <w:uiPriority w:val="60"/>
    <w:unhideWhenUsed/>
    <w:rsid w:val="00F978CE"/>
    <w:pPr>
      <w:spacing w:after="0" w:line="240" w:lineRule="auto"/>
    </w:pPr>
    <w:rPr>
      <w:color w:val="5F5F5F" w:themeColor="accent4" w:themeShade="BF"/>
    </w:rPr>
    <w:tblPr>
      <w:tblStyleRowBandSize w:val="1"/>
      <w:tblStyleColBandSize w:val="1"/>
      <w:tblBorders>
        <w:top w:val="single" w:sz="8" w:space="0" w:color="808080" w:themeColor="accent4"/>
        <w:bottom w:val="single" w:sz="8" w:space="0" w:color="808080" w:themeColor="accent4"/>
      </w:tblBorders>
    </w:tblPr>
    <w:tblStylePr w:type="firstRow">
      <w:pPr>
        <w:spacing w:before="0" w:after="0" w:line="240" w:lineRule="auto"/>
      </w:pPr>
      <w:rPr>
        <w:b/>
        <w:bCs/>
      </w:rPr>
      <w:tblPr/>
      <w:tcPr>
        <w:tcBorders>
          <w:top w:val="single" w:sz="8" w:space="0" w:color="808080" w:themeColor="accent4"/>
          <w:left w:val="nil"/>
          <w:bottom w:val="single" w:sz="8" w:space="0" w:color="808080" w:themeColor="accent4"/>
          <w:right w:val="nil"/>
          <w:insideH w:val="nil"/>
          <w:insideV w:val="nil"/>
        </w:tcBorders>
      </w:tcPr>
    </w:tblStylePr>
    <w:tblStylePr w:type="lastRow">
      <w:pPr>
        <w:spacing w:before="0" w:after="0" w:line="240" w:lineRule="auto"/>
      </w:pPr>
      <w:rPr>
        <w:b/>
        <w:bCs/>
      </w:rPr>
      <w:tblPr/>
      <w:tcPr>
        <w:tcBorders>
          <w:top w:val="single" w:sz="8" w:space="0" w:color="808080" w:themeColor="accent4"/>
          <w:left w:val="nil"/>
          <w:bottom w:val="single" w:sz="8" w:space="0" w:color="80808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FDF" w:themeFill="accent4" w:themeFillTint="3F"/>
      </w:tcPr>
    </w:tblStylePr>
    <w:tblStylePr w:type="band1Horz">
      <w:tblPr/>
      <w:tcPr>
        <w:tcBorders>
          <w:left w:val="nil"/>
          <w:right w:val="nil"/>
          <w:insideH w:val="nil"/>
          <w:insideV w:val="nil"/>
        </w:tcBorders>
        <w:shd w:val="clear" w:color="auto" w:fill="DFDFDF" w:themeFill="accent4" w:themeFillTint="3F"/>
      </w:tcPr>
    </w:tblStylePr>
  </w:style>
  <w:style w:type="table" w:styleId="LightShading-Accent5">
    <w:name w:val="Light Shading Accent 5"/>
    <w:basedOn w:val="TableNormal"/>
    <w:uiPriority w:val="60"/>
    <w:unhideWhenUsed/>
    <w:rsid w:val="00F978CE"/>
    <w:pPr>
      <w:spacing w:after="0" w:line="240" w:lineRule="auto"/>
    </w:pPr>
    <w:rPr>
      <w:color w:val="707070" w:themeColor="accent5" w:themeShade="BF"/>
    </w:rPr>
    <w:tblPr>
      <w:tblStyleRowBandSize w:val="1"/>
      <w:tblStyleColBandSize w:val="1"/>
      <w:tblBorders>
        <w:top w:val="single" w:sz="8" w:space="0" w:color="969696" w:themeColor="accent5"/>
        <w:bottom w:val="single" w:sz="8" w:space="0" w:color="969696" w:themeColor="accent5"/>
      </w:tblBorders>
    </w:tblPr>
    <w:tblStylePr w:type="firstRow">
      <w:pPr>
        <w:spacing w:before="0" w:after="0" w:line="240" w:lineRule="auto"/>
      </w:pPr>
      <w:rPr>
        <w:b/>
        <w:bCs/>
      </w:rPr>
      <w:tblPr/>
      <w:tcPr>
        <w:tcBorders>
          <w:top w:val="single" w:sz="8" w:space="0" w:color="969696" w:themeColor="accent5"/>
          <w:left w:val="nil"/>
          <w:bottom w:val="single" w:sz="8" w:space="0" w:color="969696" w:themeColor="accent5"/>
          <w:right w:val="nil"/>
          <w:insideH w:val="nil"/>
          <w:insideV w:val="nil"/>
        </w:tcBorders>
      </w:tcPr>
    </w:tblStylePr>
    <w:tblStylePr w:type="lastRow">
      <w:pPr>
        <w:spacing w:before="0" w:after="0" w:line="240" w:lineRule="auto"/>
      </w:pPr>
      <w:rPr>
        <w:b/>
        <w:bCs/>
      </w:rPr>
      <w:tblPr/>
      <w:tcPr>
        <w:tcBorders>
          <w:top w:val="single" w:sz="8" w:space="0" w:color="969696" w:themeColor="accent5"/>
          <w:left w:val="nil"/>
          <w:bottom w:val="single" w:sz="8" w:space="0" w:color="96969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5E5E5" w:themeFill="accent5" w:themeFillTint="3F"/>
      </w:tcPr>
    </w:tblStylePr>
    <w:tblStylePr w:type="band1Horz">
      <w:tblPr/>
      <w:tcPr>
        <w:tcBorders>
          <w:left w:val="nil"/>
          <w:right w:val="nil"/>
          <w:insideH w:val="nil"/>
          <w:insideV w:val="nil"/>
        </w:tcBorders>
        <w:shd w:val="clear" w:color="auto" w:fill="E5E5E5" w:themeFill="accent5" w:themeFillTint="3F"/>
      </w:tcPr>
    </w:tblStylePr>
  </w:style>
  <w:style w:type="table" w:styleId="LightShading-Accent6">
    <w:name w:val="Light Shading Accent 6"/>
    <w:basedOn w:val="TableNormal"/>
    <w:uiPriority w:val="60"/>
    <w:unhideWhenUsed/>
    <w:rsid w:val="00F978CE"/>
    <w:pPr>
      <w:spacing w:after="0" w:line="240" w:lineRule="auto"/>
    </w:pPr>
    <w:rPr>
      <w:color w:val="929292" w:themeColor="accent6" w:themeShade="BF"/>
    </w:rPr>
    <w:tblPr>
      <w:tblStyleRowBandSize w:val="1"/>
      <w:tblStyleColBandSize w:val="1"/>
      <w:tblBorders>
        <w:top w:val="single" w:sz="8" w:space="0" w:color="C3C3C3" w:themeColor="accent6"/>
        <w:bottom w:val="single" w:sz="8" w:space="0" w:color="C3C3C3" w:themeColor="accent6"/>
      </w:tblBorders>
    </w:tblPr>
    <w:tblStylePr w:type="firstRow">
      <w:pPr>
        <w:spacing w:before="0" w:after="0" w:line="240" w:lineRule="auto"/>
      </w:pPr>
      <w:rPr>
        <w:b/>
        <w:bCs/>
      </w:rPr>
      <w:tblPr/>
      <w:tcPr>
        <w:tcBorders>
          <w:top w:val="single" w:sz="8" w:space="0" w:color="C3C3C3" w:themeColor="accent6"/>
          <w:left w:val="nil"/>
          <w:bottom w:val="single" w:sz="8" w:space="0" w:color="C3C3C3" w:themeColor="accent6"/>
          <w:right w:val="nil"/>
          <w:insideH w:val="nil"/>
          <w:insideV w:val="nil"/>
        </w:tcBorders>
      </w:tcPr>
    </w:tblStylePr>
    <w:tblStylePr w:type="lastRow">
      <w:pPr>
        <w:spacing w:before="0" w:after="0" w:line="240" w:lineRule="auto"/>
      </w:pPr>
      <w:rPr>
        <w:b/>
        <w:bCs/>
      </w:rPr>
      <w:tblPr/>
      <w:tcPr>
        <w:tcBorders>
          <w:top w:val="single" w:sz="8" w:space="0" w:color="C3C3C3" w:themeColor="accent6"/>
          <w:left w:val="nil"/>
          <w:bottom w:val="single" w:sz="8" w:space="0" w:color="C3C3C3"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0F0F0" w:themeFill="accent6" w:themeFillTint="3F"/>
      </w:tcPr>
    </w:tblStylePr>
    <w:tblStylePr w:type="band1Horz">
      <w:tblPr/>
      <w:tcPr>
        <w:tcBorders>
          <w:left w:val="nil"/>
          <w:right w:val="nil"/>
          <w:insideH w:val="nil"/>
          <w:insideV w:val="nil"/>
        </w:tcBorders>
        <w:shd w:val="clear" w:color="auto" w:fill="F0F0F0" w:themeFill="accent6" w:themeFillTint="3F"/>
      </w:tcPr>
    </w:tblStylePr>
  </w:style>
  <w:style w:type="character" w:styleId="LineNumber">
    <w:name w:val="line number"/>
    <w:basedOn w:val="DefaultParagraphFont"/>
    <w:uiPriority w:val="99"/>
    <w:unhideWhenUsed/>
    <w:rsid w:val="00F978CE"/>
  </w:style>
  <w:style w:type="paragraph" w:styleId="List">
    <w:name w:val="List"/>
    <w:basedOn w:val="Normal"/>
    <w:uiPriority w:val="99"/>
    <w:unhideWhenUsed/>
    <w:rsid w:val="00F978CE"/>
    <w:pPr>
      <w:ind w:left="283" w:hanging="283"/>
      <w:contextualSpacing/>
    </w:pPr>
  </w:style>
  <w:style w:type="paragraph" w:styleId="List2">
    <w:name w:val="List 2"/>
    <w:basedOn w:val="Normal"/>
    <w:uiPriority w:val="99"/>
    <w:unhideWhenUsed/>
    <w:rsid w:val="00F978CE"/>
    <w:pPr>
      <w:ind w:left="566" w:hanging="283"/>
      <w:contextualSpacing/>
    </w:pPr>
  </w:style>
  <w:style w:type="paragraph" w:styleId="List3">
    <w:name w:val="List 3"/>
    <w:basedOn w:val="Normal"/>
    <w:uiPriority w:val="99"/>
    <w:unhideWhenUsed/>
    <w:rsid w:val="00F978CE"/>
    <w:pPr>
      <w:ind w:left="849" w:hanging="283"/>
      <w:contextualSpacing/>
    </w:pPr>
  </w:style>
  <w:style w:type="paragraph" w:styleId="List4">
    <w:name w:val="List 4"/>
    <w:basedOn w:val="Normal"/>
    <w:uiPriority w:val="99"/>
    <w:unhideWhenUsed/>
    <w:rsid w:val="00F978CE"/>
    <w:pPr>
      <w:ind w:left="1132" w:hanging="283"/>
      <w:contextualSpacing/>
    </w:pPr>
  </w:style>
  <w:style w:type="paragraph" w:styleId="List5">
    <w:name w:val="List 5"/>
    <w:basedOn w:val="Normal"/>
    <w:uiPriority w:val="99"/>
    <w:unhideWhenUsed/>
    <w:rsid w:val="00F978CE"/>
    <w:pPr>
      <w:ind w:left="1415" w:hanging="283"/>
      <w:contextualSpacing/>
    </w:pPr>
  </w:style>
  <w:style w:type="paragraph" w:styleId="ListBullet">
    <w:name w:val="List Bullet"/>
    <w:basedOn w:val="Normal"/>
    <w:uiPriority w:val="99"/>
    <w:unhideWhenUsed/>
    <w:rsid w:val="00F978CE"/>
    <w:pPr>
      <w:numPr>
        <w:numId w:val="22"/>
      </w:numPr>
      <w:contextualSpacing/>
    </w:pPr>
  </w:style>
  <w:style w:type="paragraph" w:styleId="ListBullet2">
    <w:name w:val="List Bullet 2"/>
    <w:basedOn w:val="Normal"/>
    <w:uiPriority w:val="99"/>
    <w:unhideWhenUsed/>
    <w:rsid w:val="00F978CE"/>
    <w:pPr>
      <w:numPr>
        <w:numId w:val="23"/>
      </w:numPr>
      <w:contextualSpacing/>
    </w:pPr>
  </w:style>
  <w:style w:type="paragraph" w:styleId="ListBullet3">
    <w:name w:val="List Bullet 3"/>
    <w:basedOn w:val="Normal"/>
    <w:uiPriority w:val="99"/>
    <w:unhideWhenUsed/>
    <w:rsid w:val="00F978CE"/>
    <w:pPr>
      <w:numPr>
        <w:numId w:val="24"/>
      </w:numPr>
      <w:contextualSpacing/>
    </w:pPr>
  </w:style>
  <w:style w:type="paragraph" w:styleId="ListBullet4">
    <w:name w:val="List Bullet 4"/>
    <w:basedOn w:val="Normal"/>
    <w:uiPriority w:val="99"/>
    <w:unhideWhenUsed/>
    <w:rsid w:val="00F978CE"/>
    <w:pPr>
      <w:numPr>
        <w:numId w:val="25"/>
      </w:numPr>
      <w:contextualSpacing/>
    </w:pPr>
  </w:style>
  <w:style w:type="paragraph" w:styleId="ListBullet5">
    <w:name w:val="List Bullet 5"/>
    <w:basedOn w:val="Normal"/>
    <w:uiPriority w:val="99"/>
    <w:unhideWhenUsed/>
    <w:rsid w:val="00F978CE"/>
    <w:pPr>
      <w:numPr>
        <w:numId w:val="26"/>
      </w:numPr>
      <w:contextualSpacing/>
    </w:pPr>
  </w:style>
  <w:style w:type="paragraph" w:styleId="ListContinue">
    <w:name w:val="List Continue"/>
    <w:basedOn w:val="Normal"/>
    <w:uiPriority w:val="99"/>
    <w:unhideWhenUsed/>
    <w:rsid w:val="00F978CE"/>
    <w:pPr>
      <w:spacing w:after="120"/>
      <w:ind w:left="283"/>
      <w:contextualSpacing/>
    </w:pPr>
  </w:style>
  <w:style w:type="paragraph" w:styleId="ListContinue2">
    <w:name w:val="List Continue 2"/>
    <w:basedOn w:val="Normal"/>
    <w:uiPriority w:val="99"/>
    <w:unhideWhenUsed/>
    <w:rsid w:val="00F978CE"/>
    <w:pPr>
      <w:spacing w:after="120"/>
      <w:ind w:left="566"/>
      <w:contextualSpacing/>
    </w:pPr>
  </w:style>
  <w:style w:type="paragraph" w:styleId="ListContinue3">
    <w:name w:val="List Continue 3"/>
    <w:basedOn w:val="Normal"/>
    <w:uiPriority w:val="99"/>
    <w:unhideWhenUsed/>
    <w:rsid w:val="00F978CE"/>
    <w:pPr>
      <w:spacing w:after="120"/>
      <w:ind w:left="849"/>
      <w:contextualSpacing/>
    </w:pPr>
  </w:style>
  <w:style w:type="paragraph" w:styleId="ListContinue4">
    <w:name w:val="List Continue 4"/>
    <w:basedOn w:val="Normal"/>
    <w:uiPriority w:val="99"/>
    <w:unhideWhenUsed/>
    <w:rsid w:val="00F978CE"/>
    <w:pPr>
      <w:spacing w:after="120"/>
      <w:ind w:left="1132"/>
      <w:contextualSpacing/>
    </w:pPr>
  </w:style>
  <w:style w:type="paragraph" w:styleId="ListContinue5">
    <w:name w:val="List Continue 5"/>
    <w:basedOn w:val="Normal"/>
    <w:uiPriority w:val="99"/>
    <w:unhideWhenUsed/>
    <w:rsid w:val="00F978CE"/>
    <w:pPr>
      <w:spacing w:after="120"/>
      <w:ind w:left="1415"/>
      <w:contextualSpacing/>
    </w:pPr>
  </w:style>
  <w:style w:type="paragraph" w:styleId="ListNumber">
    <w:name w:val="List Number"/>
    <w:basedOn w:val="Normal"/>
    <w:uiPriority w:val="99"/>
    <w:unhideWhenUsed/>
    <w:rsid w:val="00F978CE"/>
    <w:pPr>
      <w:numPr>
        <w:numId w:val="27"/>
      </w:numPr>
      <w:contextualSpacing/>
    </w:pPr>
  </w:style>
  <w:style w:type="paragraph" w:styleId="ListNumber2">
    <w:name w:val="List Number 2"/>
    <w:basedOn w:val="Normal"/>
    <w:uiPriority w:val="99"/>
    <w:unhideWhenUsed/>
    <w:rsid w:val="00F978CE"/>
    <w:pPr>
      <w:numPr>
        <w:numId w:val="28"/>
      </w:numPr>
      <w:contextualSpacing/>
    </w:pPr>
  </w:style>
  <w:style w:type="paragraph" w:styleId="ListNumber3">
    <w:name w:val="List Number 3"/>
    <w:basedOn w:val="Normal"/>
    <w:uiPriority w:val="99"/>
    <w:unhideWhenUsed/>
    <w:rsid w:val="00F978CE"/>
    <w:pPr>
      <w:numPr>
        <w:numId w:val="29"/>
      </w:numPr>
      <w:contextualSpacing/>
    </w:pPr>
  </w:style>
  <w:style w:type="paragraph" w:styleId="ListNumber4">
    <w:name w:val="List Number 4"/>
    <w:basedOn w:val="Normal"/>
    <w:uiPriority w:val="99"/>
    <w:unhideWhenUsed/>
    <w:rsid w:val="00F978CE"/>
    <w:pPr>
      <w:numPr>
        <w:numId w:val="30"/>
      </w:numPr>
      <w:contextualSpacing/>
    </w:pPr>
  </w:style>
  <w:style w:type="paragraph" w:styleId="ListNumber5">
    <w:name w:val="List Number 5"/>
    <w:basedOn w:val="Normal"/>
    <w:uiPriority w:val="99"/>
    <w:unhideWhenUsed/>
    <w:rsid w:val="00F978CE"/>
    <w:pPr>
      <w:numPr>
        <w:numId w:val="31"/>
      </w:numPr>
      <w:contextualSpacing/>
    </w:pPr>
  </w:style>
  <w:style w:type="paragraph" w:styleId="ListParagraph">
    <w:name w:val="List Paragraph"/>
    <w:basedOn w:val="Normal"/>
    <w:uiPriority w:val="34"/>
    <w:unhideWhenUsed/>
    <w:qFormat/>
    <w:rsid w:val="00F978CE"/>
    <w:pPr>
      <w:ind w:left="720"/>
      <w:contextualSpacing/>
    </w:pPr>
  </w:style>
  <w:style w:type="table" w:styleId="ListTable1Light">
    <w:name w:val="List Table 1 Light"/>
    <w:basedOn w:val="TableNormal"/>
    <w:uiPriority w:val="46"/>
    <w:unhideWhenUsed/>
    <w:rsid w:val="00F978CE"/>
    <w:pPr>
      <w:spacing w:after="0" w:line="240" w:lineRule="auto"/>
    </w:pPr>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1Light-Accent1">
    <w:name w:val="List Table 1 Light Accent 1"/>
    <w:basedOn w:val="TableNormal"/>
    <w:uiPriority w:val="46"/>
    <w:unhideWhenUsed/>
    <w:rsid w:val="00F978CE"/>
    <w:pPr>
      <w:spacing w:after="0" w:line="240" w:lineRule="auto"/>
    </w:pPr>
    <w:tblPr>
      <w:tblStyleRowBandSize w:val="1"/>
      <w:tblStyleColBandSize w:val="1"/>
    </w:tblPr>
    <w:tblStylePr w:type="firstRow">
      <w:rPr>
        <w:b/>
        <w:bCs/>
      </w:rPr>
      <w:tblPr/>
      <w:tcPr>
        <w:tcBorders>
          <w:bottom w:val="single" w:sz="4" w:space="0" w:color="FF36A2" w:themeColor="accent1" w:themeTint="99"/>
        </w:tcBorders>
      </w:tcPr>
    </w:tblStylePr>
    <w:tblStylePr w:type="lastRow">
      <w:rPr>
        <w:b/>
        <w:bCs/>
      </w:rPr>
      <w:tblPr/>
      <w:tcPr>
        <w:tcBorders>
          <w:top w:val="single" w:sz="4" w:space="0" w:color="FF36A2" w:themeColor="accent1" w:themeTint="99"/>
        </w:tcBorders>
      </w:tcPr>
    </w:tblStylePr>
    <w:tblStylePr w:type="firstCol">
      <w:rPr>
        <w:b/>
        <w:bCs/>
      </w:rPr>
    </w:tblStylePr>
    <w:tblStylePr w:type="lastCol">
      <w:rPr>
        <w:b/>
        <w:bCs/>
      </w:rPr>
    </w:tblStylePr>
    <w:tblStylePr w:type="band1Vert">
      <w:tblPr/>
      <w:tcPr>
        <w:shd w:val="clear" w:color="auto" w:fill="FFBCE0" w:themeFill="accent1" w:themeFillTint="33"/>
      </w:tcPr>
    </w:tblStylePr>
    <w:tblStylePr w:type="band1Horz">
      <w:tblPr/>
      <w:tcPr>
        <w:shd w:val="clear" w:color="auto" w:fill="FFBCE0" w:themeFill="accent1" w:themeFillTint="33"/>
      </w:tcPr>
    </w:tblStylePr>
  </w:style>
  <w:style w:type="table" w:styleId="ListTable1Light-Accent2">
    <w:name w:val="List Table 1 Light Accent 2"/>
    <w:basedOn w:val="TableNormal"/>
    <w:uiPriority w:val="46"/>
    <w:unhideWhenUsed/>
    <w:rsid w:val="00F978CE"/>
    <w:pPr>
      <w:spacing w:after="0" w:line="240" w:lineRule="auto"/>
    </w:pPr>
    <w:tblPr>
      <w:tblStyleRowBandSize w:val="1"/>
      <w:tblStyleColBandSize w:val="1"/>
    </w:tblPr>
    <w:tblStylePr w:type="firstRow">
      <w:rPr>
        <w:b/>
        <w:bCs/>
      </w:rPr>
      <w:tblPr/>
      <w:tcPr>
        <w:tcBorders>
          <w:bottom w:val="single" w:sz="4" w:space="0" w:color="DD7FB2" w:themeColor="accent2" w:themeTint="99"/>
        </w:tcBorders>
      </w:tcPr>
    </w:tblStylePr>
    <w:tblStylePr w:type="lastRow">
      <w:rPr>
        <w:b/>
        <w:bCs/>
      </w:rPr>
      <w:tblPr/>
      <w:tcPr>
        <w:tcBorders>
          <w:top w:val="single" w:sz="4" w:space="0" w:color="DD7FB2" w:themeColor="accent2" w:themeTint="99"/>
        </w:tcBorders>
      </w:tcPr>
    </w:tblStylePr>
    <w:tblStylePr w:type="firstCol">
      <w:rPr>
        <w:b/>
        <w:bCs/>
      </w:rPr>
    </w:tblStylePr>
    <w:tblStylePr w:type="lastCol">
      <w:rPr>
        <w:b/>
        <w:bCs/>
      </w:rPr>
    </w:tblStylePr>
    <w:tblStylePr w:type="band1Vert">
      <w:tblPr/>
      <w:tcPr>
        <w:shd w:val="clear" w:color="auto" w:fill="F3D4E5" w:themeFill="accent2" w:themeFillTint="33"/>
      </w:tcPr>
    </w:tblStylePr>
    <w:tblStylePr w:type="band1Horz">
      <w:tblPr/>
      <w:tcPr>
        <w:shd w:val="clear" w:color="auto" w:fill="F3D4E5" w:themeFill="accent2" w:themeFillTint="33"/>
      </w:tcPr>
    </w:tblStylePr>
  </w:style>
  <w:style w:type="table" w:styleId="ListTable1Light-Accent3">
    <w:name w:val="List Table 1 Light Accent 3"/>
    <w:basedOn w:val="TableNormal"/>
    <w:uiPriority w:val="46"/>
    <w:unhideWhenUsed/>
    <w:rsid w:val="00F978CE"/>
    <w:pPr>
      <w:spacing w:after="0" w:line="240" w:lineRule="auto"/>
    </w:pPr>
    <w:tblPr>
      <w:tblStyleRowBandSize w:val="1"/>
      <w:tblStyleColBandSize w:val="1"/>
    </w:tblPr>
    <w:tblStylePr w:type="firstRow">
      <w:rPr>
        <w:b/>
        <w:bCs/>
      </w:rPr>
      <w:tblPr/>
      <w:tcPr>
        <w:tcBorders>
          <w:bottom w:val="single" w:sz="4" w:space="0" w:color="E09DC1" w:themeColor="accent3" w:themeTint="99"/>
        </w:tcBorders>
      </w:tcPr>
    </w:tblStylePr>
    <w:tblStylePr w:type="lastRow">
      <w:rPr>
        <w:b/>
        <w:bCs/>
      </w:rPr>
      <w:tblPr/>
      <w:tcPr>
        <w:tcBorders>
          <w:top w:val="single" w:sz="4" w:space="0" w:color="E09DC1" w:themeColor="accent3" w:themeTint="99"/>
        </w:tcBorders>
      </w:tcPr>
    </w:tblStylePr>
    <w:tblStylePr w:type="firstCol">
      <w:rPr>
        <w:b/>
        <w:bCs/>
      </w:rPr>
    </w:tblStylePr>
    <w:tblStylePr w:type="lastCol">
      <w:rPr>
        <w:b/>
        <w:bCs/>
      </w:rPr>
    </w:tblStylePr>
    <w:tblStylePr w:type="band1Vert">
      <w:tblPr/>
      <w:tcPr>
        <w:shd w:val="clear" w:color="auto" w:fill="F4DEEA" w:themeFill="accent3" w:themeFillTint="33"/>
      </w:tcPr>
    </w:tblStylePr>
    <w:tblStylePr w:type="band1Horz">
      <w:tblPr/>
      <w:tcPr>
        <w:shd w:val="clear" w:color="auto" w:fill="F4DEEA" w:themeFill="accent3" w:themeFillTint="33"/>
      </w:tcPr>
    </w:tblStylePr>
  </w:style>
  <w:style w:type="table" w:styleId="ListTable1Light-Accent4">
    <w:name w:val="List Table 1 Light Accent 4"/>
    <w:basedOn w:val="TableNormal"/>
    <w:uiPriority w:val="46"/>
    <w:unhideWhenUsed/>
    <w:rsid w:val="00F978CE"/>
    <w:pPr>
      <w:spacing w:after="0" w:line="240" w:lineRule="auto"/>
    </w:pPr>
    <w:tblPr>
      <w:tblStyleRowBandSize w:val="1"/>
      <w:tblStyleColBandSize w:val="1"/>
    </w:tblPr>
    <w:tblStylePr w:type="firstRow">
      <w:rPr>
        <w:b/>
        <w:bCs/>
      </w:rPr>
      <w:tblPr/>
      <w:tcPr>
        <w:tcBorders>
          <w:bottom w:val="single" w:sz="4" w:space="0" w:color="B2B2B2" w:themeColor="accent4" w:themeTint="99"/>
        </w:tcBorders>
      </w:tcPr>
    </w:tblStylePr>
    <w:tblStylePr w:type="lastRow">
      <w:rPr>
        <w:b/>
        <w:bCs/>
      </w:rPr>
      <w:tblPr/>
      <w:tcPr>
        <w:tcBorders>
          <w:top w:val="single" w:sz="4" w:space="0" w:color="B2B2B2" w:themeColor="accent4" w:themeTint="99"/>
        </w:tcBorders>
      </w:tcPr>
    </w:tblStylePr>
    <w:tblStylePr w:type="firstCol">
      <w:rPr>
        <w:b/>
        <w:bCs/>
      </w:rPr>
    </w:tblStylePr>
    <w:tblStylePr w:type="lastCol">
      <w:rPr>
        <w:b/>
        <w:bCs/>
      </w:rPr>
    </w:tblStylePr>
    <w:tblStylePr w:type="band1Vert">
      <w:tblPr/>
      <w:tcPr>
        <w:shd w:val="clear" w:color="auto" w:fill="E5E5E5" w:themeFill="accent4" w:themeFillTint="33"/>
      </w:tcPr>
    </w:tblStylePr>
    <w:tblStylePr w:type="band1Horz">
      <w:tblPr/>
      <w:tcPr>
        <w:shd w:val="clear" w:color="auto" w:fill="E5E5E5" w:themeFill="accent4" w:themeFillTint="33"/>
      </w:tcPr>
    </w:tblStylePr>
  </w:style>
  <w:style w:type="table" w:styleId="ListTable1Light-Accent5">
    <w:name w:val="List Table 1 Light Accent 5"/>
    <w:basedOn w:val="TableNormal"/>
    <w:uiPriority w:val="46"/>
    <w:unhideWhenUsed/>
    <w:rsid w:val="00F978CE"/>
    <w:pPr>
      <w:spacing w:after="0" w:line="240" w:lineRule="auto"/>
    </w:pPr>
    <w:tblPr>
      <w:tblStyleRowBandSize w:val="1"/>
      <w:tblStyleColBandSize w:val="1"/>
    </w:tblPr>
    <w:tblStylePr w:type="firstRow">
      <w:rPr>
        <w:b/>
        <w:bCs/>
      </w:rPr>
      <w:tblPr/>
      <w:tcPr>
        <w:tcBorders>
          <w:bottom w:val="single" w:sz="4" w:space="0" w:color="C0C0C0" w:themeColor="accent5" w:themeTint="99"/>
        </w:tcBorders>
      </w:tcPr>
    </w:tblStylePr>
    <w:tblStylePr w:type="lastRow">
      <w:rPr>
        <w:b/>
        <w:bCs/>
      </w:rPr>
      <w:tblPr/>
      <w:tcPr>
        <w:tcBorders>
          <w:top w:val="single" w:sz="4" w:space="0" w:color="C0C0C0" w:themeColor="accent5" w:themeTint="99"/>
        </w:tcBorders>
      </w:tcPr>
    </w:tblStylePr>
    <w:tblStylePr w:type="firstCol">
      <w:rPr>
        <w:b/>
        <w:bCs/>
      </w:rPr>
    </w:tblStylePr>
    <w:tblStylePr w:type="lastCol">
      <w:rPr>
        <w:b/>
        <w:bCs/>
      </w:rPr>
    </w:tblStylePr>
    <w:tblStylePr w:type="band1Vert">
      <w:tblPr/>
      <w:tcPr>
        <w:shd w:val="clear" w:color="auto" w:fill="EAEAEA" w:themeFill="accent5" w:themeFillTint="33"/>
      </w:tcPr>
    </w:tblStylePr>
    <w:tblStylePr w:type="band1Horz">
      <w:tblPr/>
      <w:tcPr>
        <w:shd w:val="clear" w:color="auto" w:fill="EAEAEA" w:themeFill="accent5" w:themeFillTint="33"/>
      </w:tcPr>
    </w:tblStylePr>
  </w:style>
  <w:style w:type="table" w:styleId="ListTable1Light-Accent6">
    <w:name w:val="List Table 1 Light Accent 6"/>
    <w:basedOn w:val="TableNormal"/>
    <w:uiPriority w:val="46"/>
    <w:unhideWhenUsed/>
    <w:rsid w:val="00F978CE"/>
    <w:pPr>
      <w:spacing w:after="0" w:line="240" w:lineRule="auto"/>
    </w:pPr>
    <w:tblPr>
      <w:tblStyleRowBandSize w:val="1"/>
      <w:tblStyleColBandSize w:val="1"/>
    </w:tblPr>
    <w:tblStylePr w:type="firstRow">
      <w:rPr>
        <w:b/>
        <w:bCs/>
      </w:rPr>
      <w:tblPr/>
      <w:tcPr>
        <w:tcBorders>
          <w:bottom w:val="single" w:sz="4" w:space="0" w:color="DBDBDB" w:themeColor="accent6" w:themeTint="99"/>
        </w:tcBorders>
      </w:tcPr>
    </w:tblStylePr>
    <w:tblStylePr w:type="lastRow">
      <w:rPr>
        <w:b/>
        <w:bCs/>
      </w:rPr>
      <w:tblPr/>
      <w:tcPr>
        <w:tcBorders>
          <w:top w:val="single" w:sz="4" w:space="0" w:color="DBDBDB" w:themeColor="accent6" w:themeTint="99"/>
        </w:tcBorders>
      </w:tcPr>
    </w:tblStylePr>
    <w:tblStylePr w:type="firstCol">
      <w:rPr>
        <w:b/>
        <w:bCs/>
      </w:rPr>
    </w:tblStylePr>
    <w:tblStylePr w:type="lastCol">
      <w:rPr>
        <w:b/>
        <w:bCs/>
      </w:rPr>
    </w:tblStylePr>
    <w:tblStylePr w:type="band1Vert">
      <w:tblPr/>
      <w:tcPr>
        <w:shd w:val="clear" w:color="auto" w:fill="F3F3F3" w:themeFill="accent6" w:themeFillTint="33"/>
      </w:tcPr>
    </w:tblStylePr>
    <w:tblStylePr w:type="band1Horz">
      <w:tblPr/>
      <w:tcPr>
        <w:shd w:val="clear" w:color="auto" w:fill="F3F3F3" w:themeFill="accent6" w:themeFillTint="33"/>
      </w:tcPr>
    </w:tblStylePr>
  </w:style>
  <w:style w:type="table" w:styleId="ListTable2">
    <w:name w:val="List Table 2"/>
    <w:basedOn w:val="TableNormal"/>
    <w:uiPriority w:val="47"/>
    <w:unhideWhenUsed/>
    <w:rsid w:val="00F978CE"/>
    <w:pPr>
      <w:spacing w:after="0" w:line="240" w:lineRule="auto"/>
    </w:pPr>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2-Accent1">
    <w:name w:val="List Table 2 Accent 1"/>
    <w:basedOn w:val="TableNormal"/>
    <w:uiPriority w:val="47"/>
    <w:unhideWhenUsed/>
    <w:rsid w:val="00F978CE"/>
    <w:pPr>
      <w:spacing w:after="0" w:line="240" w:lineRule="auto"/>
    </w:pPr>
    <w:tblPr>
      <w:tblStyleRowBandSize w:val="1"/>
      <w:tblStyleColBandSize w:val="1"/>
      <w:tblBorders>
        <w:top w:val="single" w:sz="4" w:space="0" w:color="FF36A2" w:themeColor="accent1" w:themeTint="99"/>
        <w:bottom w:val="single" w:sz="4" w:space="0" w:color="FF36A2" w:themeColor="accent1" w:themeTint="99"/>
        <w:insideH w:val="single" w:sz="4" w:space="0" w:color="FF36A2" w:themeColor="accen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FBCE0" w:themeFill="accent1" w:themeFillTint="33"/>
      </w:tcPr>
    </w:tblStylePr>
    <w:tblStylePr w:type="band1Horz">
      <w:tblPr/>
      <w:tcPr>
        <w:shd w:val="clear" w:color="auto" w:fill="FFBCE0" w:themeFill="accent1" w:themeFillTint="33"/>
      </w:tcPr>
    </w:tblStylePr>
  </w:style>
  <w:style w:type="table" w:styleId="ListTable2-Accent2">
    <w:name w:val="List Table 2 Accent 2"/>
    <w:basedOn w:val="TableNormal"/>
    <w:uiPriority w:val="47"/>
    <w:unhideWhenUsed/>
    <w:rsid w:val="00F978CE"/>
    <w:pPr>
      <w:spacing w:after="0" w:line="240" w:lineRule="auto"/>
    </w:pPr>
    <w:tblPr>
      <w:tblStyleRowBandSize w:val="1"/>
      <w:tblStyleColBandSize w:val="1"/>
      <w:tblBorders>
        <w:top w:val="single" w:sz="4" w:space="0" w:color="DD7FB2" w:themeColor="accent2" w:themeTint="99"/>
        <w:bottom w:val="single" w:sz="4" w:space="0" w:color="DD7FB2" w:themeColor="accent2" w:themeTint="99"/>
        <w:insideH w:val="single" w:sz="4" w:space="0" w:color="DD7FB2" w:themeColor="accent2"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3D4E5" w:themeFill="accent2" w:themeFillTint="33"/>
      </w:tcPr>
    </w:tblStylePr>
    <w:tblStylePr w:type="band1Horz">
      <w:tblPr/>
      <w:tcPr>
        <w:shd w:val="clear" w:color="auto" w:fill="F3D4E5" w:themeFill="accent2" w:themeFillTint="33"/>
      </w:tcPr>
    </w:tblStylePr>
  </w:style>
  <w:style w:type="table" w:styleId="ListTable2-Accent3">
    <w:name w:val="List Table 2 Accent 3"/>
    <w:basedOn w:val="TableNormal"/>
    <w:uiPriority w:val="47"/>
    <w:unhideWhenUsed/>
    <w:rsid w:val="00F978CE"/>
    <w:pPr>
      <w:spacing w:after="0" w:line="240" w:lineRule="auto"/>
    </w:pPr>
    <w:tblPr>
      <w:tblStyleRowBandSize w:val="1"/>
      <w:tblStyleColBandSize w:val="1"/>
      <w:tblBorders>
        <w:top w:val="single" w:sz="4" w:space="0" w:color="E09DC1" w:themeColor="accent3" w:themeTint="99"/>
        <w:bottom w:val="single" w:sz="4" w:space="0" w:color="E09DC1" w:themeColor="accent3" w:themeTint="99"/>
        <w:insideH w:val="single" w:sz="4" w:space="0" w:color="E09DC1" w:themeColor="accent3"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4DEEA" w:themeFill="accent3" w:themeFillTint="33"/>
      </w:tcPr>
    </w:tblStylePr>
    <w:tblStylePr w:type="band1Horz">
      <w:tblPr/>
      <w:tcPr>
        <w:shd w:val="clear" w:color="auto" w:fill="F4DEEA" w:themeFill="accent3" w:themeFillTint="33"/>
      </w:tcPr>
    </w:tblStylePr>
  </w:style>
  <w:style w:type="table" w:styleId="ListTable2-Accent4">
    <w:name w:val="List Table 2 Accent 4"/>
    <w:basedOn w:val="TableNormal"/>
    <w:uiPriority w:val="47"/>
    <w:unhideWhenUsed/>
    <w:rsid w:val="00F978CE"/>
    <w:pPr>
      <w:spacing w:after="0" w:line="240" w:lineRule="auto"/>
    </w:pPr>
    <w:tblPr>
      <w:tblStyleRowBandSize w:val="1"/>
      <w:tblStyleColBandSize w:val="1"/>
      <w:tblBorders>
        <w:top w:val="single" w:sz="4" w:space="0" w:color="B2B2B2" w:themeColor="accent4" w:themeTint="99"/>
        <w:bottom w:val="single" w:sz="4" w:space="0" w:color="B2B2B2" w:themeColor="accent4" w:themeTint="99"/>
        <w:insideH w:val="single" w:sz="4" w:space="0" w:color="B2B2B2" w:themeColor="accent4"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5E5E5" w:themeFill="accent4" w:themeFillTint="33"/>
      </w:tcPr>
    </w:tblStylePr>
    <w:tblStylePr w:type="band1Horz">
      <w:tblPr/>
      <w:tcPr>
        <w:shd w:val="clear" w:color="auto" w:fill="E5E5E5" w:themeFill="accent4" w:themeFillTint="33"/>
      </w:tcPr>
    </w:tblStylePr>
  </w:style>
  <w:style w:type="table" w:styleId="ListTable2-Accent5">
    <w:name w:val="List Table 2 Accent 5"/>
    <w:basedOn w:val="TableNormal"/>
    <w:uiPriority w:val="47"/>
    <w:unhideWhenUsed/>
    <w:rsid w:val="00F978CE"/>
    <w:pPr>
      <w:spacing w:after="0" w:line="240" w:lineRule="auto"/>
    </w:pPr>
    <w:tblPr>
      <w:tblStyleRowBandSize w:val="1"/>
      <w:tblStyleColBandSize w:val="1"/>
      <w:tblBorders>
        <w:top w:val="single" w:sz="4" w:space="0" w:color="C0C0C0" w:themeColor="accent5" w:themeTint="99"/>
        <w:bottom w:val="single" w:sz="4" w:space="0" w:color="C0C0C0" w:themeColor="accent5" w:themeTint="99"/>
        <w:insideH w:val="single" w:sz="4" w:space="0" w:color="C0C0C0" w:themeColor="accent5"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AEAEA" w:themeFill="accent5" w:themeFillTint="33"/>
      </w:tcPr>
    </w:tblStylePr>
    <w:tblStylePr w:type="band1Horz">
      <w:tblPr/>
      <w:tcPr>
        <w:shd w:val="clear" w:color="auto" w:fill="EAEAEA" w:themeFill="accent5" w:themeFillTint="33"/>
      </w:tcPr>
    </w:tblStylePr>
  </w:style>
  <w:style w:type="table" w:styleId="ListTable2-Accent6">
    <w:name w:val="List Table 2 Accent 6"/>
    <w:basedOn w:val="TableNormal"/>
    <w:uiPriority w:val="47"/>
    <w:unhideWhenUsed/>
    <w:rsid w:val="00F978CE"/>
    <w:pPr>
      <w:spacing w:after="0" w:line="240" w:lineRule="auto"/>
    </w:pPr>
    <w:tblPr>
      <w:tblStyleRowBandSize w:val="1"/>
      <w:tblStyleColBandSize w:val="1"/>
      <w:tblBorders>
        <w:top w:val="single" w:sz="4" w:space="0" w:color="DBDBDB" w:themeColor="accent6" w:themeTint="99"/>
        <w:bottom w:val="single" w:sz="4" w:space="0" w:color="DBDBDB" w:themeColor="accent6" w:themeTint="99"/>
        <w:insideH w:val="single" w:sz="4" w:space="0" w:color="DBDBDB" w:themeColor="accent6"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3F3F3" w:themeFill="accent6" w:themeFillTint="33"/>
      </w:tcPr>
    </w:tblStylePr>
    <w:tblStylePr w:type="band1Horz">
      <w:tblPr/>
      <w:tcPr>
        <w:shd w:val="clear" w:color="auto" w:fill="F3F3F3" w:themeFill="accent6" w:themeFillTint="33"/>
      </w:tcPr>
    </w:tblStylePr>
  </w:style>
  <w:style w:type="table" w:styleId="ListTable3">
    <w:name w:val="List Table 3"/>
    <w:basedOn w:val="TableNormal"/>
    <w:uiPriority w:val="48"/>
    <w:unhideWhenUsed/>
    <w:rsid w:val="00F978CE"/>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table" w:styleId="ListTable3-Accent1">
    <w:name w:val="List Table 3 Accent 1"/>
    <w:basedOn w:val="TableNormal"/>
    <w:uiPriority w:val="48"/>
    <w:unhideWhenUsed/>
    <w:rsid w:val="00F978CE"/>
    <w:pPr>
      <w:spacing w:after="0" w:line="240" w:lineRule="auto"/>
    </w:pPr>
    <w:tblPr>
      <w:tblStyleRowBandSize w:val="1"/>
      <w:tblStyleColBandSize w:val="1"/>
      <w:tblBorders>
        <w:top w:val="single" w:sz="4" w:space="0" w:color="AF005F" w:themeColor="accent1"/>
        <w:left w:val="single" w:sz="4" w:space="0" w:color="AF005F" w:themeColor="accent1"/>
        <w:bottom w:val="single" w:sz="4" w:space="0" w:color="AF005F" w:themeColor="accent1"/>
        <w:right w:val="single" w:sz="4" w:space="0" w:color="AF005F" w:themeColor="accent1"/>
      </w:tblBorders>
    </w:tblPr>
    <w:tblStylePr w:type="firstRow">
      <w:rPr>
        <w:b/>
        <w:bCs/>
        <w:color w:val="FFFFFF" w:themeColor="background1"/>
      </w:rPr>
      <w:tblPr/>
      <w:tcPr>
        <w:shd w:val="clear" w:color="auto" w:fill="AF005F" w:themeFill="accent1"/>
      </w:tcPr>
    </w:tblStylePr>
    <w:tblStylePr w:type="lastRow">
      <w:rPr>
        <w:b/>
        <w:bCs/>
      </w:rPr>
      <w:tblPr/>
      <w:tcPr>
        <w:tcBorders>
          <w:top w:val="double" w:sz="4" w:space="0" w:color="AF005F"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F005F" w:themeColor="accent1"/>
          <w:right w:val="single" w:sz="4" w:space="0" w:color="AF005F" w:themeColor="accent1"/>
        </w:tcBorders>
      </w:tcPr>
    </w:tblStylePr>
    <w:tblStylePr w:type="band1Horz">
      <w:tblPr/>
      <w:tcPr>
        <w:tcBorders>
          <w:top w:val="single" w:sz="4" w:space="0" w:color="AF005F" w:themeColor="accent1"/>
          <w:bottom w:val="single" w:sz="4" w:space="0" w:color="AF005F"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F005F" w:themeColor="accent1"/>
          <w:left w:val="nil"/>
        </w:tcBorders>
      </w:tcPr>
    </w:tblStylePr>
    <w:tblStylePr w:type="swCell">
      <w:tblPr/>
      <w:tcPr>
        <w:tcBorders>
          <w:top w:val="double" w:sz="4" w:space="0" w:color="AF005F" w:themeColor="accent1"/>
          <w:right w:val="nil"/>
        </w:tcBorders>
      </w:tcPr>
    </w:tblStylePr>
  </w:style>
  <w:style w:type="table" w:styleId="ListTable3-Accent2">
    <w:name w:val="List Table 3 Accent 2"/>
    <w:basedOn w:val="TableNormal"/>
    <w:uiPriority w:val="48"/>
    <w:unhideWhenUsed/>
    <w:rsid w:val="00F978CE"/>
    <w:pPr>
      <w:spacing w:after="0" w:line="240" w:lineRule="auto"/>
    </w:pPr>
    <w:tblPr>
      <w:tblStyleRowBandSize w:val="1"/>
      <w:tblStyleColBandSize w:val="1"/>
      <w:tblBorders>
        <w:top w:val="single" w:sz="4" w:space="0" w:color="BF337F" w:themeColor="accent2"/>
        <w:left w:val="single" w:sz="4" w:space="0" w:color="BF337F" w:themeColor="accent2"/>
        <w:bottom w:val="single" w:sz="4" w:space="0" w:color="BF337F" w:themeColor="accent2"/>
        <w:right w:val="single" w:sz="4" w:space="0" w:color="BF337F" w:themeColor="accent2"/>
      </w:tblBorders>
    </w:tblPr>
    <w:tblStylePr w:type="firstRow">
      <w:rPr>
        <w:b/>
        <w:bCs/>
        <w:color w:val="FFFFFF" w:themeColor="background1"/>
      </w:rPr>
      <w:tblPr/>
      <w:tcPr>
        <w:shd w:val="clear" w:color="auto" w:fill="BF337F" w:themeFill="accent2"/>
      </w:tcPr>
    </w:tblStylePr>
    <w:tblStylePr w:type="lastRow">
      <w:rPr>
        <w:b/>
        <w:bCs/>
      </w:rPr>
      <w:tblPr/>
      <w:tcPr>
        <w:tcBorders>
          <w:top w:val="double" w:sz="4" w:space="0" w:color="BF337F"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BF337F" w:themeColor="accent2"/>
          <w:right w:val="single" w:sz="4" w:space="0" w:color="BF337F" w:themeColor="accent2"/>
        </w:tcBorders>
      </w:tcPr>
    </w:tblStylePr>
    <w:tblStylePr w:type="band1Horz">
      <w:tblPr/>
      <w:tcPr>
        <w:tcBorders>
          <w:top w:val="single" w:sz="4" w:space="0" w:color="BF337F" w:themeColor="accent2"/>
          <w:bottom w:val="single" w:sz="4" w:space="0" w:color="BF337F"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BF337F" w:themeColor="accent2"/>
          <w:left w:val="nil"/>
        </w:tcBorders>
      </w:tcPr>
    </w:tblStylePr>
    <w:tblStylePr w:type="swCell">
      <w:tblPr/>
      <w:tcPr>
        <w:tcBorders>
          <w:top w:val="double" w:sz="4" w:space="0" w:color="BF337F" w:themeColor="accent2"/>
          <w:right w:val="nil"/>
        </w:tcBorders>
      </w:tcPr>
    </w:tblStylePr>
  </w:style>
  <w:style w:type="table" w:styleId="ListTable3-Accent3">
    <w:name w:val="List Table 3 Accent 3"/>
    <w:basedOn w:val="TableNormal"/>
    <w:uiPriority w:val="48"/>
    <w:unhideWhenUsed/>
    <w:rsid w:val="00F978CE"/>
    <w:pPr>
      <w:spacing w:after="0" w:line="240" w:lineRule="auto"/>
    </w:pPr>
    <w:tblPr>
      <w:tblStyleRowBandSize w:val="1"/>
      <w:tblStyleColBandSize w:val="1"/>
      <w:tblBorders>
        <w:top w:val="single" w:sz="4" w:space="0" w:color="CC5C99" w:themeColor="accent3"/>
        <w:left w:val="single" w:sz="4" w:space="0" w:color="CC5C99" w:themeColor="accent3"/>
        <w:bottom w:val="single" w:sz="4" w:space="0" w:color="CC5C99" w:themeColor="accent3"/>
        <w:right w:val="single" w:sz="4" w:space="0" w:color="CC5C99" w:themeColor="accent3"/>
      </w:tblBorders>
    </w:tblPr>
    <w:tblStylePr w:type="firstRow">
      <w:rPr>
        <w:b/>
        <w:bCs/>
        <w:color w:val="FFFFFF" w:themeColor="background1"/>
      </w:rPr>
      <w:tblPr/>
      <w:tcPr>
        <w:shd w:val="clear" w:color="auto" w:fill="CC5C99" w:themeFill="accent3"/>
      </w:tcPr>
    </w:tblStylePr>
    <w:tblStylePr w:type="lastRow">
      <w:rPr>
        <w:b/>
        <w:bCs/>
      </w:rPr>
      <w:tblPr/>
      <w:tcPr>
        <w:tcBorders>
          <w:top w:val="double" w:sz="4" w:space="0" w:color="CC5C99"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CC5C99" w:themeColor="accent3"/>
          <w:right w:val="single" w:sz="4" w:space="0" w:color="CC5C99" w:themeColor="accent3"/>
        </w:tcBorders>
      </w:tcPr>
    </w:tblStylePr>
    <w:tblStylePr w:type="band1Horz">
      <w:tblPr/>
      <w:tcPr>
        <w:tcBorders>
          <w:top w:val="single" w:sz="4" w:space="0" w:color="CC5C99" w:themeColor="accent3"/>
          <w:bottom w:val="single" w:sz="4" w:space="0" w:color="CC5C99"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CC5C99" w:themeColor="accent3"/>
          <w:left w:val="nil"/>
        </w:tcBorders>
      </w:tcPr>
    </w:tblStylePr>
    <w:tblStylePr w:type="swCell">
      <w:tblPr/>
      <w:tcPr>
        <w:tcBorders>
          <w:top w:val="double" w:sz="4" w:space="0" w:color="CC5C99" w:themeColor="accent3"/>
          <w:right w:val="nil"/>
        </w:tcBorders>
      </w:tcPr>
    </w:tblStylePr>
  </w:style>
  <w:style w:type="table" w:styleId="ListTable3-Accent4">
    <w:name w:val="List Table 3 Accent 4"/>
    <w:basedOn w:val="TableNormal"/>
    <w:uiPriority w:val="48"/>
    <w:unhideWhenUsed/>
    <w:rsid w:val="00F978CE"/>
    <w:pPr>
      <w:spacing w:after="0" w:line="240" w:lineRule="auto"/>
    </w:pPr>
    <w:tblPr>
      <w:tblStyleRowBandSize w:val="1"/>
      <w:tblStyleColBandSize w:val="1"/>
      <w:tblBorders>
        <w:top w:val="single" w:sz="4" w:space="0" w:color="808080" w:themeColor="accent4"/>
        <w:left w:val="single" w:sz="4" w:space="0" w:color="808080" w:themeColor="accent4"/>
        <w:bottom w:val="single" w:sz="4" w:space="0" w:color="808080" w:themeColor="accent4"/>
        <w:right w:val="single" w:sz="4" w:space="0" w:color="808080" w:themeColor="accent4"/>
      </w:tblBorders>
    </w:tblPr>
    <w:tblStylePr w:type="firstRow">
      <w:rPr>
        <w:b/>
        <w:bCs/>
        <w:color w:val="FFFFFF" w:themeColor="background1"/>
      </w:rPr>
      <w:tblPr/>
      <w:tcPr>
        <w:shd w:val="clear" w:color="auto" w:fill="808080" w:themeFill="accent4"/>
      </w:tcPr>
    </w:tblStylePr>
    <w:tblStylePr w:type="lastRow">
      <w:rPr>
        <w:b/>
        <w:bCs/>
      </w:rPr>
      <w:tblPr/>
      <w:tcPr>
        <w:tcBorders>
          <w:top w:val="double" w:sz="4" w:space="0" w:color="808080" w:themeColor="accent4"/>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808080" w:themeColor="accent4"/>
          <w:right w:val="single" w:sz="4" w:space="0" w:color="808080" w:themeColor="accent4"/>
        </w:tcBorders>
      </w:tcPr>
    </w:tblStylePr>
    <w:tblStylePr w:type="band1Horz">
      <w:tblPr/>
      <w:tcPr>
        <w:tcBorders>
          <w:top w:val="single" w:sz="4" w:space="0" w:color="808080" w:themeColor="accent4"/>
          <w:bottom w:val="single" w:sz="4" w:space="0" w:color="808080" w:themeColor="accent4"/>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808080" w:themeColor="accent4"/>
          <w:left w:val="nil"/>
        </w:tcBorders>
      </w:tcPr>
    </w:tblStylePr>
    <w:tblStylePr w:type="swCell">
      <w:tblPr/>
      <w:tcPr>
        <w:tcBorders>
          <w:top w:val="double" w:sz="4" w:space="0" w:color="808080" w:themeColor="accent4"/>
          <w:right w:val="nil"/>
        </w:tcBorders>
      </w:tcPr>
    </w:tblStylePr>
  </w:style>
  <w:style w:type="table" w:styleId="ListTable3-Accent5">
    <w:name w:val="List Table 3 Accent 5"/>
    <w:basedOn w:val="TableNormal"/>
    <w:uiPriority w:val="48"/>
    <w:unhideWhenUsed/>
    <w:rsid w:val="00F978CE"/>
    <w:pPr>
      <w:spacing w:after="0" w:line="240" w:lineRule="auto"/>
    </w:pPr>
    <w:tblPr>
      <w:tblStyleRowBandSize w:val="1"/>
      <w:tblStyleColBandSize w:val="1"/>
      <w:tblBorders>
        <w:top w:val="single" w:sz="4" w:space="0" w:color="969696" w:themeColor="accent5"/>
        <w:left w:val="single" w:sz="4" w:space="0" w:color="969696" w:themeColor="accent5"/>
        <w:bottom w:val="single" w:sz="4" w:space="0" w:color="969696" w:themeColor="accent5"/>
        <w:right w:val="single" w:sz="4" w:space="0" w:color="969696" w:themeColor="accent5"/>
      </w:tblBorders>
    </w:tblPr>
    <w:tblStylePr w:type="firstRow">
      <w:rPr>
        <w:b/>
        <w:bCs/>
        <w:color w:val="FFFFFF" w:themeColor="background1"/>
      </w:rPr>
      <w:tblPr/>
      <w:tcPr>
        <w:shd w:val="clear" w:color="auto" w:fill="969696" w:themeFill="accent5"/>
      </w:tcPr>
    </w:tblStylePr>
    <w:tblStylePr w:type="lastRow">
      <w:rPr>
        <w:b/>
        <w:bCs/>
      </w:rPr>
      <w:tblPr/>
      <w:tcPr>
        <w:tcBorders>
          <w:top w:val="double" w:sz="4" w:space="0" w:color="969696" w:themeColor="accent5"/>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969696" w:themeColor="accent5"/>
          <w:right w:val="single" w:sz="4" w:space="0" w:color="969696" w:themeColor="accent5"/>
        </w:tcBorders>
      </w:tcPr>
    </w:tblStylePr>
    <w:tblStylePr w:type="band1Horz">
      <w:tblPr/>
      <w:tcPr>
        <w:tcBorders>
          <w:top w:val="single" w:sz="4" w:space="0" w:color="969696" w:themeColor="accent5"/>
          <w:bottom w:val="single" w:sz="4" w:space="0" w:color="969696" w:themeColor="accent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969696" w:themeColor="accent5"/>
          <w:left w:val="nil"/>
        </w:tcBorders>
      </w:tcPr>
    </w:tblStylePr>
    <w:tblStylePr w:type="swCell">
      <w:tblPr/>
      <w:tcPr>
        <w:tcBorders>
          <w:top w:val="double" w:sz="4" w:space="0" w:color="969696" w:themeColor="accent5"/>
          <w:right w:val="nil"/>
        </w:tcBorders>
      </w:tcPr>
    </w:tblStylePr>
  </w:style>
  <w:style w:type="table" w:styleId="ListTable3-Accent6">
    <w:name w:val="List Table 3 Accent 6"/>
    <w:basedOn w:val="TableNormal"/>
    <w:uiPriority w:val="48"/>
    <w:unhideWhenUsed/>
    <w:rsid w:val="00F978CE"/>
    <w:pPr>
      <w:spacing w:after="0" w:line="240" w:lineRule="auto"/>
    </w:pPr>
    <w:tblPr>
      <w:tblStyleRowBandSize w:val="1"/>
      <w:tblStyleColBandSize w:val="1"/>
      <w:tblBorders>
        <w:top w:val="single" w:sz="4" w:space="0" w:color="C3C3C3" w:themeColor="accent6"/>
        <w:left w:val="single" w:sz="4" w:space="0" w:color="C3C3C3" w:themeColor="accent6"/>
        <w:bottom w:val="single" w:sz="4" w:space="0" w:color="C3C3C3" w:themeColor="accent6"/>
        <w:right w:val="single" w:sz="4" w:space="0" w:color="C3C3C3" w:themeColor="accent6"/>
      </w:tblBorders>
    </w:tblPr>
    <w:tblStylePr w:type="firstRow">
      <w:rPr>
        <w:b/>
        <w:bCs/>
        <w:color w:val="FFFFFF" w:themeColor="background1"/>
      </w:rPr>
      <w:tblPr/>
      <w:tcPr>
        <w:shd w:val="clear" w:color="auto" w:fill="C3C3C3" w:themeFill="accent6"/>
      </w:tcPr>
    </w:tblStylePr>
    <w:tblStylePr w:type="lastRow">
      <w:rPr>
        <w:b/>
        <w:bCs/>
      </w:rPr>
      <w:tblPr/>
      <w:tcPr>
        <w:tcBorders>
          <w:top w:val="double" w:sz="4" w:space="0" w:color="C3C3C3" w:themeColor="accent6"/>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C3C3C3" w:themeColor="accent6"/>
          <w:right w:val="single" w:sz="4" w:space="0" w:color="C3C3C3" w:themeColor="accent6"/>
        </w:tcBorders>
      </w:tcPr>
    </w:tblStylePr>
    <w:tblStylePr w:type="band1Horz">
      <w:tblPr/>
      <w:tcPr>
        <w:tcBorders>
          <w:top w:val="single" w:sz="4" w:space="0" w:color="C3C3C3" w:themeColor="accent6"/>
          <w:bottom w:val="single" w:sz="4" w:space="0" w:color="C3C3C3" w:themeColor="accent6"/>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C3C3C3" w:themeColor="accent6"/>
          <w:left w:val="nil"/>
        </w:tcBorders>
      </w:tcPr>
    </w:tblStylePr>
    <w:tblStylePr w:type="swCell">
      <w:tblPr/>
      <w:tcPr>
        <w:tcBorders>
          <w:top w:val="double" w:sz="4" w:space="0" w:color="C3C3C3" w:themeColor="accent6"/>
          <w:right w:val="nil"/>
        </w:tcBorders>
      </w:tcPr>
    </w:tblStylePr>
  </w:style>
  <w:style w:type="table" w:styleId="ListTable4">
    <w:name w:val="List Table 4"/>
    <w:basedOn w:val="TableNormal"/>
    <w:uiPriority w:val="49"/>
    <w:unhideWhenUsed/>
    <w:rsid w:val="00F978CE"/>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tcBorders>
        <w:shd w:val="clear" w:color="auto" w:fill="000000" w:themeFill="text1"/>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4-Accent1">
    <w:name w:val="List Table 4 Accent 1"/>
    <w:basedOn w:val="TableNormal"/>
    <w:uiPriority w:val="49"/>
    <w:unhideWhenUsed/>
    <w:rsid w:val="00F978CE"/>
    <w:pPr>
      <w:spacing w:after="0" w:line="240" w:lineRule="auto"/>
    </w:pPr>
    <w:tblPr>
      <w:tblStyleRowBandSize w:val="1"/>
      <w:tblStyleColBandSize w:val="1"/>
      <w:tblBorders>
        <w:top w:val="single" w:sz="4" w:space="0" w:color="FF36A2" w:themeColor="accent1" w:themeTint="99"/>
        <w:left w:val="single" w:sz="4" w:space="0" w:color="FF36A2" w:themeColor="accent1" w:themeTint="99"/>
        <w:bottom w:val="single" w:sz="4" w:space="0" w:color="FF36A2" w:themeColor="accent1" w:themeTint="99"/>
        <w:right w:val="single" w:sz="4" w:space="0" w:color="FF36A2" w:themeColor="accent1" w:themeTint="99"/>
        <w:insideH w:val="single" w:sz="4" w:space="0" w:color="FF36A2" w:themeColor="accent1" w:themeTint="99"/>
      </w:tblBorders>
    </w:tblPr>
    <w:tblStylePr w:type="firstRow">
      <w:rPr>
        <w:b/>
        <w:bCs/>
        <w:color w:val="FFFFFF" w:themeColor="background1"/>
      </w:rPr>
      <w:tblPr/>
      <w:tcPr>
        <w:tcBorders>
          <w:top w:val="single" w:sz="4" w:space="0" w:color="AF005F" w:themeColor="accent1"/>
          <w:left w:val="single" w:sz="4" w:space="0" w:color="AF005F" w:themeColor="accent1"/>
          <w:bottom w:val="single" w:sz="4" w:space="0" w:color="AF005F" w:themeColor="accent1"/>
          <w:right w:val="single" w:sz="4" w:space="0" w:color="AF005F" w:themeColor="accent1"/>
          <w:insideH w:val="nil"/>
        </w:tcBorders>
        <w:shd w:val="clear" w:color="auto" w:fill="AF005F" w:themeFill="accent1"/>
      </w:tcPr>
    </w:tblStylePr>
    <w:tblStylePr w:type="lastRow">
      <w:rPr>
        <w:b/>
        <w:bCs/>
      </w:rPr>
      <w:tblPr/>
      <w:tcPr>
        <w:tcBorders>
          <w:top w:val="double" w:sz="4" w:space="0" w:color="FF36A2" w:themeColor="accent1" w:themeTint="99"/>
        </w:tcBorders>
      </w:tcPr>
    </w:tblStylePr>
    <w:tblStylePr w:type="firstCol">
      <w:rPr>
        <w:b/>
        <w:bCs/>
      </w:rPr>
    </w:tblStylePr>
    <w:tblStylePr w:type="lastCol">
      <w:rPr>
        <w:b/>
        <w:bCs/>
      </w:rPr>
    </w:tblStylePr>
    <w:tblStylePr w:type="band1Vert">
      <w:tblPr/>
      <w:tcPr>
        <w:shd w:val="clear" w:color="auto" w:fill="FFBCE0" w:themeFill="accent1" w:themeFillTint="33"/>
      </w:tcPr>
    </w:tblStylePr>
    <w:tblStylePr w:type="band1Horz">
      <w:tblPr/>
      <w:tcPr>
        <w:shd w:val="clear" w:color="auto" w:fill="FFBCE0" w:themeFill="accent1" w:themeFillTint="33"/>
      </w:tcPr>
    </w:tblStylePr>
  </w:style>
  <w:style w:type="table" w:styleId="ListTable4-Accent2">
    <w:name w:val="List Table 4 Accent 2"/>
    <w:basedOn w:val="TableNormal"/>
    <w:uiPriority w:val="49"/>
    <w:unhideWhenUsed/>
    <w:rsid w:val="00F978CE"/>
    <w:pPr>
      <w:spacing w:after="0" w:line="240" w:lineRule="auto"/>
    </w:pPr>
    <w:tblPr>
      <w:tblStyleRowBandSize w:val="1"/>
      <w:tblStyleColBandSize w:val="1"/>
      <w:tblBorders>
        <w:top w:val="single" w:sz="4" w:space="0" w:color="DD7FB2" w:themeColor="accent2" w:themeTint="99"/>
        <w:left w:val="single" w:sz="4" w:space="0" w:color="DD7FB2" w:themeColor="accent2" w:themeTint="99"/>
        <w:bottom w:val="single" w:sz="4" w:space="0" w:color="DD7FB2" w:themeColor="accent2" w:themeTint="99"/>
        <w:right w:val="single" w:sz="4" w:space="0" w:color="DD7FB2" w:themeColor="accent2" w:themeTint="99"/>
        <w:insideH w:val="single" w:sz="4" w:space="0" w:color="DD7FB2" w:themeColor="accent2" w:themeTint="99"/>
      </w:tblBorders>
    </w:tblPr>
    <w:tblStylePr w:type="firstRow">
      <w:rPr>
        <w:b/>
        <w:bCs/>
        <w:color w:val="FFFFFF" w:themeColor="background1"/>
      </w:rPr>
      <w:tblPr/>
      <w:tcPr>
        <w:tcBorders>
          <w:top w:val="single" w:sz="4" w:space="0" w:color="BF337F" w:themeColor="accent2"/>
          <w:left w:val="single" w:sz="4" w:space="0" w:color="BF337F" w:themeColor="accent2"/>
          <w:bottom w:val="single" w:sz="4" w:space="0" w:color="BF337F" w:themeColor="accent2"/>
          <w:right w:val="single" w:sz="4" w:space="0" w:color="BF337F" w:themeColor="accent2"/>
          <w:insideH w:val="nil"/>
        </w:tcBorders>
        <w:shd w:val="clear" w:color="auto" w:fill="BF337F" w:themeFill="accent2"/>
      </w:tcPr>
    </w:tblStylePr>
    <w:tblStylePr w:type="lastRow">
      <w:rPr>
        <w:b/>
        <w:bCs/>
      </w:rPr>
      <w:tblPr/>
      <w:tcPr>
        <w:tcBorders>
          <w:top w:val="double" w:sz="4" w:space="0" w:color="DD7FB2" w:themeColor="accent2" w:themeTint="99"/>
        </w:tcBorders>
      </w:tcPr>
    </w:tblStylePr>
    <w:tblStylePr w:type="firstCol">
      <w:rPr>
        <w:b/>
        <w:bCs/>
      </w:rPr>
    </w:tblStylePr>
    <w:tblStylePr w:type="lastCol">
      <w:rPr>
        <w:b/>
        <w:bCs/>
      </w:rPr>
    </w:tblStylePr>
    <w:tblStylePr w:type="band1Vert">
      <w:tblPr/>
      <w:tcPr>
        <w:shd w:val="clear" w:color="auto" w:fill="F3D4E5" w:themeFill="accent2" w:themeFillTint="33"/>
      </w:tcPr>
    </w:tblStylePr>
    <w:tblStylePr w:type="band1Horz">
      <w:tblPr/>
      <w:tcPr>
        <w:shd w:val="clear" w:color="auto" w:fill="F3D4E5" w:themeFill="accent2" w:themeFillTint="33"/>
      </w:tcPr>
    </w:tblStylePr>
  </w:style>
  <w:style w:type="table" w:styleId="ListTable4-Accent3">
    <w:name w:val="List Table 4 Accent 3"/>
    <w:basedOn w:val="TableNormal"/>
    <w:uiPriority w:val="49"/>
    <w:unhideWhenUsed/>
    <w:rsid w:val="00F978CE"/>
    <w:pPr>
      <w:spacing w:after="0" w:line="240" w:lineRule="auto"/>
    </w:pPr>
    <w:tblPr>
      <w:tblStyleRowBandSize w:val="1"/>
      <w:tblStyleColBandSize w:val="1"/>
      <w:tblBorders>
        <w:top w:val="single" w:sz="4" w:space="0" w:color="E09DC1" w:themeColor="accent3" w:themeTint="99"/>
        <w:left w:val="single" w:sz="4" w:space="0" w:color="E09DC1" w:themeColor="accent3" w:themeTint="99"/>
        <w:bottom w:val="single" w:sz="4" w:space="0" w:color="E09DC1" w:themeColor="accent3" w:themeTint="99"/>
        <w:right w:val="single" w:sz="4" w:space="0" w:color="E09DC1" w:themeColor="accent3" w:themeTint="99"/>
        <w:insideH w:val="single" w:sz="4" w:space="0" w:color="E09DC1" w:themeColor="accent3" w:themeTint="99"/>
      </w:tblBorders>
    </w:tblPr>
    <w:tblStylePr w:type="firstRow">
      <w:rPr>
        <w:b/>
        <w:bCs/>
        <w:color w:val="FFFFFF" w:themeColor="background1"/>
      </w:rPr>
      <w:tblPr/>
      <w:tcPr>
        <w:tcBorders>
          <w:top w:val="single" w:sz="4" w:space="0" w:color="CC5C99" w:themeColor="accent3"/>
          <w:left w:val="single" w:sz="4" w:space="0" w:color="CC5C99" w:themeColor="accent3"/>
          <w:bottom w:val="single" w:sz="4" w:space="0" w:color="CC5C99" w:themeColor="accent3"/>
          <w:right w:val="single" w:sz="4" w:space="0" w:color="CC5C99" w:themeColor="accent3"/>
          <w:insideH w:val="nil"/>
        </w:tcBorders>
        <w:shd w:val="clear" w:color="auto" w:fill="CC5C99" w:themeFill="accent3"/>
      </w:tcPr>
    </w:tblStylePr>
    <w:tblStylePr w:type="lastRow">
      <w:rPr>
        <w:b/>
        <w:bCs/>
      </w:rPr>
      <w:tblPr/>
      <w:tcPr>
        <w:tcBorders>
          <w:top w:val="double" w:sz="4" w:space="0" w:color="E09DC1" w:themeColor="accent3" w:themeTint="99"/>
        </w:tcBorders>
      </w:tcPr>
    </w:tblStylePr>
    <w:tblStylePr w:type="firstCol">
      <w:rPr>
        <w:b/>
        <w:bCs/>
      </w:rPr>
    </w:tblStylePr>
    <w:tblStylePr w:type="lastCol">
      <w:rPr>
        <w:b/>
        <w:bCs/>
      </w:rPr>
    </w:tblStylePr>
    <w:tblStylePr w:type="band1Vert">
      <w:tblPr/>
      <w:tcPr>
        <w:shd w:val="clear" w:color="auto" w:fill="F4DEEA" w:themeFill="accent3" w:themeFillTint="33"/>
      </w:tcPr>
    </w:tblStylePr>
    <w:tblStylePr w:type="band1Horz">
      <w:tblPr/>
      <w:tcPr>
        <w:shd w:val="clear" w:color="auto" w:fill="F4DEEA" w:themeFill="accent3" w:themeFillTint="33"/>
      </w:tcPr>
    </w:tblStylePr>
  </w:style>
  <w:style w:type="table" w:styleId="ListTable4-Accent4">
    <w:name w:val="List Table 4 Accent 4"/>
    <w:basedOn w:val="TableNormal"/>
    <w:uiPriority w:val="49"/>
    <w:unhideWhenUsed/>
    <w:rsid w:val="00F978CE"/>
    <w:pPr>
      <w:spacing w:after="0" w:line="240" w:lineRule="auto"/>
    </w:pPr>
    <w:tblPr>
      <w:tblStyleRowBandSize w:val="1"/>
      <w:tblStyleColBandSize w:val="1"/>
      <w:tblBorders>
        <w:top w:val="single" w:sz="4" w:space="0" w:color="B2B2B2" w:themeColor="accent4" w:themeTint="99"/>
        <w:left w:val="single" w:sz="4" w:space="0" w:color="B2B2B2" w:themeColor="accent4" w:themeTint="99"/>
        <w:bottom w:val="single" w:sz="4" w:space="0" w:color="B2B2B2" w:themeColor="accent4" w:themeTint="99"/>
        <w:right w:val="single" w:sz="4" w:space="0" w:color="B2B2B2" w:themeColor="accent4" w:themeTint="99"/>
        <w:insideH w:val="single" w:sz="4" w:space="0" w:color="B2B2B2" w:themeColor="accent4" w:themeTint="99"/>
      </w:tblBorders>
    </w:tblPr>
    <w:tblStylePr w:type="firstRow">
      <w:rPr>
        <w:b/>
        <w:bCs/>
        <w:color w:val="FFFFFF" w:themeColor="background1"/>
      </w:rPr>
      <w:tblPr/>
      <w:tcPr>
        <w:tcBorders>
          <w:top w:val="single" w:sz="4" w:space="0" w:color="808080" w:themeColor="accent4"/>
          <w:left w:val="single" w:sz="4" w:space="0" w:color="808080" w:themeColor="accent4"/>
          <w:bottom w:val="single" w:sz="4" w:space="0" w:color="808080" w:themeColor="accent4"/>
          <w:right w:val="single" w:sz="4" w:space="0" w:color="808080" w:themeColor="accent4"/>
          <w:insideH w:val="nil"/>
        </w:tcBorders>
        <w:shd w:val="clear" w:color="auto" w:fill="808080" w:themeFill="accent4"/>
      </w:tcPr>
    </w:tblStylePr>
    <w:tblStylePr w:type="lastRow">
      <w:rPr>
        <w:b/>
        <w:bCs/>
      </w:rPr>
      <w:tblPr/>
      <w:tcPr>
        <w:tcBorders>
          <w:top w:val="double" w:sz="4" w:space="0" w:color="B2B2B2" w:themeColor="accent4" w:themeTint="99"/>
        </w:tcBorders>
      </w:tcPr>
    </w:tblStylePr>
    <w:tblStylePr w:type="firstCol">
      <w:rPr>
        <w:b/>
        <w:bCs/>
      </w:rPr>
    </w:tblStylePr>
    <w:tblStylePr w:type="lastCol">
      <w:rPr>
        <w:b/>
        <w:bCs/>
      </w:rPr>
    </w:tblStylePr>
    <w:tblStylePr w:type="band1Vert">
      <w:tblPr/>
      <w:tcPr>
        <w:shd w:val="clear" w:color="auto" w:fill="E5E5E5" w:themeFill="accent4" w:themeFillTint="33"/>
      </w:tcPr>
    </w:tblStylePr>
    <w:tblStylePr w:type="band1Horz">
      <w:tblPr/>
      <w:tcPr>
        <w:shd w:val="clear" w:color="auto" w:fill="E5E5E5" w:themeFill="accent4" w:themeFillTint="33"/>
      </w:tcPr>
    </w:tblStylePr>
  </w:style>
  <w:style w:type="table" w:styleId="ListTable4-Accent5">
    <w:name w:val="List Table 4 Accent 5"/>
    <w:basedOn w:val="TableNormal"/>
    <w:uiPriority w:val="49"/>
    <w:unhideWhenUsed/>
    <w:rsid w:val="00F978CE"/>
    <w:pPr>
      <w:spacing w:after="0" w:line="240" w:lineRule="auto"/>
    </w:pPr>
    <w:tblPr>
      <w:tblStyleRowBandSize w:val="1"/>
      <w:tblStyleColBandSize w:val="1"/>
      <w:tblBorders>
        <w:top w:val="single" w:sz="4" w:space="0" w:color="C0C0C0" w:themeColor="accent5" w:themeTint="99"/>
        <w:left w:val="single" w:sz="4" w:space="0" w:color="C0C0C0" w:themeColor="accent5" w:themeTint="99"/>
        <w:bottom w:val="single" w:sz="4" w:space="0" w:color="C0C0C0" w:themeColor="accent5" w:themeTint="99"/>
        <w:right w:val="single" w:sz="4" w:space="0" w:color="C0C0C0" w:themeColor="accent5" w:themeTint="99"/>
        <w:insideH w:val="single" w:sz="4" w:space="0" w:color="C0C0C0" w:themeColor="accent5" w:themeTint="99"/>
      </w:tblBorders>
    </w:tblPr>
    <w:tblStylePr w:type="firstRow">
      <w:rPr>
        <w:b/>
        <w:bCs/>
        <w:color w:val="FFFFFF" w:themeColor="background1"/>
      </w:rPr>
      <w:tblPr/>
      <w:tcPr>
        <w:tcBorders>
          <w:top w:val="single" w:sz="4" w:space="0" w:color="969696" w:themeColor="accent5"/>
          <w:left w:val="single" w:sz="4" w:space="0" w:color="969696" w:themeColor="accent5"/>
          <w:bottom w:val="single" w:sz="4" w:space="0" w:color="969696" w:themeColor="accent5"/>
          <w:right w:val="single" w:sz="4" w:space="0" w:color="969696" w:themeColor="accent5"/>
          <w:insideH w:val="nil"/>
        </w:tcBorders>
        <w:shd w:val="clear" w:color="auto" w:fill="969696" w:themeFill="accent5"/>
      </w:tcPr>
    </w:tblStylePr>
    <w:tblStylePr w:type="lastRow">
      <w:rPr>
        <w:b/>
        <w:bCs/>
      </w:rPr>
      <w:tblPr/>
      <w:tcPr>
        <w:tcBorders>
          <w:top w:val="double" w:sz="4" w:space="0" w:color="C0C0C0" w:themeColor="accent5" w:themeTint="99"/>
        </w:tcBorders>
      </w:tcPr>
    </w:tblStylePr>
    <w:tblStylePr w:type="firstCol">
      <w:rPr>
        <w:b/>
        <w:bCs/>
      </w:rPr>
    </w:tblStylePr>
    <w:tblStylePr w:type="lastCol">
      <w:rPr>
        <w:b/>
        <w:bCs/>
      </w:rPr>
    </w:tblStylePr>
    <w:tblStylePr w:type="band1Vert">
      <w:tblPr/>
      <w:tcPr>
        <w:shd w:val="clear" w:color="auto" w:fill="EAEAEA" w:themeFill="accent5" w:themeFillTint="33"/>
      </w:tcPr>
    </w:tblStylePr>
    <w:tblStylePr w:type="band1Horz">
      <w:tblPr/>
      <w:tcPr>
        <w:shd w:val="clear" w:color="auto" w:fill="EAEAEA" w:themeFill="accent5" w:themeFillTint="33"/>
      </w:tcPr>
    </w:tblStylePr>
  </w:style>
  <w:style w:type="table" w:styleId="ListTable4-Accent6">
    <w:name w:val="List Table 4 Accent 6"/>
    <w:basedOn w:val="TableNormal"/>
    <w:uiPriority w:val="49"/>
    <w:unhideWhenUsed/>
    <w:rsid w:val="00F978CE"/>
    <w:pPr>
      <w:spacing w:after="0" w:line="240" w:lineRule="auto"/>
    </w:pPr>
    <w:tblPr>
      <w:tblStyleRowBandSize w:val="1"/>
      <w:tblStyleColBandSize w:val="1"/>
      <w:tblBorders>
        <w:top w:val="single" w:sz="4" w:space="0" w:color="DBDBDB" w:themeColor="accent6" w:themeTint="99"/>
        <w:left w:val="single" w:sz="4" w:space="0" w:color="DBDBDB" w:themeColor="accent6" w:themeTint="99"/>
        <w:bottom w:val="single" w:sz="4" w:space="0" w:color="DBDBDB" w:themeColor="accent6" w:themeTint="99"/>
        <w:right w:val="single" w:sz="4" w:space="0" w:color="DBDBDB" w:themeColor="accent6" w:themeTint="99"/>
        <w:insideH w:val="single" w:sz="4" w:space="0" w:color="DBDBDB" w:themeColor="accent6" w:themeTint="99"/>
      </w:tblBorders>
    </w:tblPr>
    <w:tblStylePr w:type="firstRow">
      <w:rPr>
        <w:b/>
        <w:bCs/>
        <w:color w:val="FFFFFF" w:themeColor="background1"/>
      </w:rPr>
      <w:tblPr/>
      <w:tcPr>
        <w:tcBorders>
          <w:top w:val="single" w:sz="4" w:space="0" w:color="C3C3C3" w:themeColor="accent6"/>
          <w:left w:val="single" w:sz="4" w:space="0" w:color="C3C3C3" w:themeColor="accent6"/>
          <w:bottom w:val="single" w:sz="4" w:space="0" w:color="C3C3C3" w:themeColor="accent6"/>
          <w:right w:val="single" w:sz="4" w:space="0" w:color="C3C3C3" w:themeColor="accent6"/>
          <w:insideH w:val="nil"/>
        </w:tcBorders>
        <w:shd w:val="clear" w:color="auto" w:fill="C3C3C3" w:themeFill="accent6"/>
      </w:tcPr>
    </w:tblStylePr>
    <w:tblStylePr w:type="lastRow">
      <w:rPr>
        <w:b/>
        <w:bCs/>
      </w:rPr>
      <w:tblPr/>
      <w:tcPr>
        <w:tcBorders>
          <w:top w:val="double" w:sz="4" w:space="0" w:color="DBDBDB" w:themeColor="accent6" w:themeTint="99"/>
        </w:tcBorders>
      </w:tcPr>
    </w:tblStylePr>
    <w:tblStylePr w:type="firstCol">
      <w:rPr>
        <w:b/>
        <w:bCs/>
      </w:rPr>
    </w:tblStylePr>
    <w:tblStylePr w:type="lastCol">
      <w:rPr>
        <w:b/>
        <w:bCs/>
      </w:rPr>
    </w:tblStylePr>
    <w:tblStylePr w:type="band1Vert">
      <w:tblPr/>
      <w:tcPr>
        <w:shd w:val="clear" w:color="auto" w:fill="F3F3F3" w:themeFill="accent6" w:themeFillTint="33"/>
      </w:tcPr>
    </w:tblStylePr>
    <w:tblStylePr w:type="band1Horz">
      <w:tblPr/>
      <w:tcPr>
        <w:shd w:val="clear" w:color="auto" w:fill="F3F3F3" w:themeFill="accent6" w:themeFillTint="33"/>
      </w:tcPr>
    </w:tblStylePr>
  </w:style>
  <w:style w:type="table" w:styleId="ListTable5Dark">
    <w:name w:val="List Table 5 Dark"/>
    <w:basedOn w:val="TableNormal"/>
    <w:uiPriority w:val="50"/>
    <w:unhideWhenUsed/>
    <w:rsid w:val="00F978CE"/>
    <w:pPr>
      <w:spacing w:after="0" w:line="240" w:lineRule="auto"/>
    </w:pPr>
    <w:rPr>
      <w:color w:val="FFFFFF" w:themeColor="background1"/>
    </w:rPr>
    <w:tblPr>
      <w:tblStyleRowBandSize w:val="1"/>
      <w:tblStyleColBandSize w:val="1"/>
      <w:tblBorders>
        <w:top w:val="single" w:sz="24" w:space="0" w:color="000000" w:themeColor="text1"/>
        <w:left w:val="single" w:sz="24" w:space="0" w:color="000000" w:themeColor="text1"/>
        <w:bottom w:val="single" w:sz="24" w:space="0" w:color="000000" w:themeColor="text1"/>
        <w:right w:val="single" w:sz="24" w:space="0" w:color="000000" w:themeColor="text1"/>
      </w:tblBorders>
    </w:tblPr>
    <w:tcPr>
      <w:shd w:val="clear" w:color="auto" w:fill="000000" w:themeFill="tex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1">
    <w:name w:val="List Table 5 Dark Accent 1"/>
    <w:basedOn w:val="TableNormal"/>
    <w:uiPriority w:val="50"/>
    <w:unhideWhenUsed/>
    <w:rsid w:val="00F978CE"/>
    <w:pPr>
      <w:spacing w:after="0" w:line="240" w:lineRule="auto"/>
    </w:pPr>
    <w:rPr>
      <w:color w:val="FFFFFF" w:themeColor="background1"/>
    </w:rPr>
    <w:tblPr>
      <w:tblStyleRowBandSize w:val="1"/>
      <w:tblStyleColBandSize w:val="1"/>
      <w:tblBorders>
        <w:top w:val="single" w:sz="24" w:space="0" w:color="AF005F" w:themeColor="accent1"/>
        <w:left w:val="single" w:sz="24" w:space="0" w:color="AF005F" w:themeColor="accent1"/>
        <w:bottom w:val="single" w:sz="24" w:space="0" w:color="AF005F" w:themeColor="accent1"/>
        <w:right w:val="single" w:sz="24" w:space="0" w:color="AF005F" w:themeColor="accent1"/>
      </w:tblBorders>
    </w:tblPr>
    <w:tcPr>
      <w:shd w:val="clear" w:color="auto" w:fill="AF005F" w:themeFill="accen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2">
    <w:name w:val="List Table 5 Dark Accent 2"/>
    <w:basedOn w:val="TableNormal"/>
    <w:uiPriority w:val="50"/>
    <w:unhideWhenUsed/>
    <w:rsid w:val="00F978CE"/>
    <w:pPr>
      <w:spacing w:after="0" w:line="240" w:lineRule="auto"/>
    </w:pPr>
    <w:rPr>
      <w:color w:val="FFFFFF" w:themeColor="background1"/>
    </w:rPr>
    <w:tblPr>
      <w:tblStyleRowBandSize w:val="1"/>
      <w:tblStyleColBandSize w:val="1"/>
      <w:tblBorders>
        <w:top w:val="single" w:sz="24" w:space="0" w:color="BF337F" w:themeColor="accent2"/>
        <w:left w:val="single" w:sz="24" w:space="0" w:color="BF337F" w:themeColor="accent2"/>
        <w:bottom w:val="single" w:sz="24" w:space="0" w:color="BF337F" w:themeColor="accent2"/>
        <w:right w:val="single" w:sz="24" w:space="0" w:color="BF337F" w:themeColor="accent2"/>
      </w:tblBorders>
    </w:tblPr>
    <w:tcPr>
      <w:shd w:val="clear" w:color="auto" w:fill="BF337F" w:themeFill="accent2"/>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3">
    <w:name w:val="List Table 5 Dark Accent 3"/>
    <w:basedOn w:val="TableNormal"/>
    <w:uiPriority w:val="50"/>
    <w:unhideWhenUsed/>
    <w:rsid w:val="00F978CE"/>
    <w:pPr>
      <w:spacing w:after="0" w:line="240" w:lineRule="auto"/>
    </w:pPr>
    <w:rPr>
      <w:color w:val="FFFFFF" w:themeColor="background1"/>
    </w:rPr>
    <w:tblPr>
      <w:tblStyleRowBandSize w:val="1"/>
      <w:tblStyleColBandSize w:val="1"/>
      <w:tblBorders>
        <w:top w:val="single" w:sz="24" w:space="0" w:color="CC5C99" w:themeColor="accent3"/>
        <w:left w:val="single" w:sz="24" w:space="0" w:color="CC5C99" w:themeColor="accent3"/>
        <w:bottom w:val="single" w:sz="24" w:space="0" w:color="CC5C99" w:themeColor="accent3"/>
        <w:right w:val="single" w:sz="24" w:space="0" w:color="CC5C99" w:themeColor="accent3"/>
      </w:tblBorders>
    </w:tblPr>
    <w:tcPr>
      <w:shd w:val="clear" w:color="auto" w:fill="CC5C99" w:themeFill="accent3"/>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4">
    <w:name w:val="List Table 5 Dark Accent 4"/>
    <w:basedOn w:val="TableNormal"/>
    <w:uiPriority w:val="50"/>
    <w:unhideWhenUsed/>
    <w:rsid w:val="00F978CE"/>
    <w:pPr>
      <w:spacing w:after="0" w:line="240" w:lineRule="auto"/>
    </w:pPr>
    <w:rPr>
      <w:color w:val="FFFFFF" w:themeColor="background1"/>
    </w:rPr>
    <w:tblPr>
      <w:tblStyleRowBandSize w:val="1"/>
      <w:tblStyleColBandSize w:val="1"/>
      <w:tblBorders>
        <w:top w:val="single" w:sz="24" w:space="0" w:color="808080" w:themeColor="accent4"/>
        <w:left w:val="single" w:sz="24" w:space="0" w:color="808080" w:themeColor="accent4"/>
        <w:bottom w:val="single" w:sz="24" w:space="0" w:color="808080" w:themeColor="accent4"/>
        <w:right w:val="single" w:sz="24" w:space="0" w:color="808080" w:themeColor="accent4"/>
      </w:tblBorders>
    </w:tblPr>
    <w:tcPr>
      <w:shd w:val="clear" w:color="auto" w:fill="808080" w:themeFill="accent4"/>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5">
    <w:name w:val="List Table 5 Dark Accent 5"/>
    <w:basedOn w:val="TableNormal"/>
    <w:uiPriority w:val="50"/>
    <w:unhideWhenUsed/>
    <w:rsid w:val="00F978CE"/>
    <w:pPr>
      <w:spacing w:after="0" w:line="240" w:lineRule="auto"/>
    </w:pPr>
    <w:rPr>
      <w:color w:val="FFFFFF" w:themeColor="background1"/>
    </w:rPr>
    <w:tblPr>
      <w:tblStyleRowBandSize w:val="1"/>
      <w:tblStyleColBandSize w:val="1"/>
      <w:tblBorders>
        <w:top w:val="single" w:sz="24" w:space="0" w:color="969696" w:themeColor="accent5"/>
        <w:left w:val="single" w:sz="24" w:space="0" w:color="969696" w:themeColor="accent5"/>
        <w:bottom w:val="single" w:sz="24" w:space="0" w:color="969696" w:themeColor="accent5"/>
        <w:right w:val="single" w:sz="24" w:space="0" w:color="969696" w:themeColor="accent5"/>
      </w:tblBorders>
    </w:tblPr>
    <w:tcPr>
      <w:shd w:val="clear" w:color="auto" w:fill="969696" w:themeFill="accent5"/>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6">
    <w:name w:val="List Table 5 Dark Accent 6"/>
    <w:basedOn w:val="TableNormal"/>
    <w:uiPriority w:val="50"/>
    <w:unhideWhenUsed/>
    <w:rsid w:val="00F978CE"/>
    <w:pPr>
      <w:spacing w:after="0" w:line="240" w:lineRule="auto"/>
    </w:pPr>
    <w:rPr>
      <w:color w:val="FFFFFF" w:themeColor="background1"/>
    </w:rPr>
    <w:tblPr>
      <w:tblStyleRowBandSize w:val="1"/>
      <w:tblStyleColBandSize w:val="1"/>
      <w:tblBorders>
        <w:top w:val="single" w:sz="24" w:space="0" w:color="C3C3C3" w:themeColor="accent6"/>
        <w:left w:val="single" w:sz="24" w:space="0" w:color="C3C3C3" w:themeColor="accent6"/>
        <w:bottom w:val="single" w:sz="24" w:space="0" w:color="C3C3C3" w:themeColor="accent6"/>
        <w:right w:val="single" w:sz="24" w:space="0" w:color="C3C3C3" w:themeColor="accent6"/>
      </w:tblBorders>
    </w:tblPr>
    <w:tcPr>
      <w:shd w:val="clear" w:color="auto" w:fill="C3C3C3" w:themeFill="accent6"/>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6Colorful">
    <w:name w:val="List Table 6 Colorful"/>
    <w:basedOn w:val="TableNormal"/>
    <w:uiPriority w:val="51"/>
    <w:unhideWhenUsed/>
    <w:rsid w:val="00F978CE"/>
    <w:pPr>
      <w:spacing w:after="0" w:line="240" w:lineRule="auto"/>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6Colorful-Accent1">
    <w:name w:val="List Table 6 Colorful Accent 1"/>
    <w:basedOn w:val="TableNormal"/>
    <w:uiPriority w:val="51"/>
    <w:unhideWhenUsed/>
    <w:rsid w:val="00F978CE"/>
    <w:pPr>
      <w:spacing w:after="0" w:line="240" w:lineRule="auto"/>
    </w:pPr>
    <w:rPr>
      <w:color w:val="830046" w:themeColor="accent1" w:themeShade="BF"/>
    </w:rPr>
    <w:tblPr>
      <w:tblStyleRowBandSize w:val="1"/>
      <w:tblStyleColBandSize w:val="1"/>
      <w:tblBorders>
        <w:top w:val="single" w:sz="4" w:space="0" w:color="AF005F" w:themeColor="accent1"/>
        <w:bottom w:val="single" w:sz="4" w:space="0" w:color="AF005F" w:themeColor="accent1"/>
      </w:tblBorders>
    </w:tblPr>
    <w:tblStylePr w:type="firstRow">
      <w:rPr>
        <w:b/>
        <w:bCs/>
      </w:rPr>
      <w:tblPr/>
      <w:tcPr>
        <w:tcBorders>
          <w:bottom w:val="single" w:sz="4" w:space="0" w:color="AF005F" w:themeColor="accent1"/>
        </w:tcBorders>
      </w:tcPr>
    </w:tblStylePr>
    <w:tblStylePr w:type="lastRow">
      <w:rPr>
        <w:b/>
        <w:bCs/>
      </w:rPr>
      <w:tblPr/>
      <w:tcPr>
        <w:tcBorders>
          <w:top w:val="double" w:sz="4" w:space="0" w:color="AF005F" w:themeColor="accent1"/>
        </w:tcBorders>
      </w:tcPr>
    </w:tblStylePr>
    <w:tblStylePr w:type="firstCol">
      <w:rPr>
        <w:b/>
        <w:bCs/>
      </w:rPr>
    </w:tblStylePr>
    <w:tblStylePr w:type="lastCol">
      <w:rPr>
        <w:b/>
        <w:bCs/>
      </w:rPr>
    </w:tblStylePr>
    <w:tblStylePr w:type="band1Vert">
      <w:tblPr/>
      <w:tcPr>
        <w:shd w:val="clear" w:color="auto" w:fill="FFBCE0" w:themeFill="accent1" w:themeFillTint="33"/>
      </w:tcPr>
    </w:tblStylePr>
    <w:tblStylePr w:type="band1Horz">
      <w:tblPr/>
      <w:tcPr>
        <w:shd w:val="clear" w:color="auto" w:fill="FFBCE0" w:themeFill="accent1" w:themeFillTint="33"/>
      </w:tcPr>
    </w:tblStylePr>
  </w:style>
  <w:style w:type="table" w:styleId="ListTable6Colorful-Accent2">
    <w:name w:val="List Table 6 Colorful Accent 2"/>
    <w:basedOn w:val="TableNormal"/>
    <w:uiPriority w:val="51"/>
    <w:unhideWhenUsed/>
    <w:rsid w:val="00F978CE"/>
    <w:pPr>
      <w:spacing w:after="0" w:line="240" w:lineRule="auto"/>
    </w:pPr>
    <w:rPr>
      <w:color w:val="8E265E" w:themeColor="accent2" w:themeShade="BF"/>
    </w:rPr>
    <w:tblPr>
      <w:tblStyleRowBandSize w:val="1"/>
      <w:tblStyleColBandSize w:val="1"/>
      <w:tblBorders>
        <w:top w:val="single" w:sz="4" w:space="0" w:color="BF337F" w:themeColor="accent2"/>
        <w:bottom w:val="single" w:sz="4" w:space="0" w:color="BF337F" w:themeColor="accent2"/>
      </w:tblBorders>
    </w:tblPr>
    <w:tblStylePr w:type="firstRow">
      <w:rPr>
        <w:b/>
        <w:bCs/>
      </w:rPr>
      <w:tblPr/>
      <w:tcPr>
        <w:tcBorders>
          <w:bottom w:val="single" w:sz="4" w:space="0" w:color="BF337F" w:themeColor="accent2"/>
        </w:tcBorders>
      </w:tcPr>
    </w:tblStylePr>
    <w:tblStylePr w:type="lastRow">
      <w:rPr>
        <w:b/>
        <w:bCs/>
      </w:rPr>
      <w:tblPr/>
      <w:tcPr>
        <w:tcBorders>
          <w:top w:val="double" w:sz="4" w:space="0" w:color="BF337F" w:themeColor="accent2"/>
        </w:tcBorders>
      </w:tcPr>
    </w:tblStylePr>
    <w:tblStylePr w:type="firstCol">
      <w:rPr>
        <w:b/>
        <w:bCs/>
      </w:rPr>
    </w:tblStylePr>
    <w:tblStylePr w:type="lastCol">
      <w:rPr>
        <w:b/>
        <w:bCs/>
      </w:rPr>
    </w:tblStylePr>
    <w:tblStylePr w:type="band1Vert">
      <w:tblPr/>
      <w:tcPr>
        <w:shd w:val="clear" w:color="auto" w:fill="F3D4E5" w:themeFill="accent2" w:themeFillTint="33"/>
      </w:tcPr>
    </w:tblStylePr>
    <w:tblStylePr w:type="band1Horz">
      <w:tblPr/>
      <w:tcPr>
        <w:shd w:val="clear" w:color="auto" w:fill="F3D4E5" w:themeFill="accent2" w:themeFillTint="33"/>
      </w:tcPr>
    </w:tblStylePr>
  </w:style>
  <w:style w:type="table" w:styleId="ListTable6Colorful-Accent3">
    <w:name w:val="List Table 6 Colorful Accent 3"/>
    <w:basedOn w:val="TableNormal"/>
    <w:uiPriority w:val="51"/>
    <w:unhideWhenUsed/>
    <w:rsid w:val="00F978CE"/>
    <w:pPr>
      <w:spacing w:after="0" w:line="240" w:lineRule="auto"/>
    </w:pPr>
    <w:rPr>
      <w:color w:val="A83573" w:themeColor="accent3" w:themeShade="BF"/>
    </w:rPr>
    <w:tblPr>
      <w:tblStyleRowBandSize w:val="1"/>
      <w:tblStyleColBandSize w:val="1"/>
      <w:tblBorders>
        <w:top w:val="single" w:sz="4" w:space="0" w:color="CC5C99" w:themeColor="accent3"/>
        <w:bottom w:val="single" w:sz="4" w:space="0" w:color="CC5C99" w:themeColor="accent3"/>
      </w:tblBorders>
    </w:tblPr>
    <w:tblStylePr w:type="firstRow">
      <w:rPr>
        <w:b/>
        <w:bCs/>
      </w:rPr>
      <w:tblPr/>
      <w:tcPr>
        <w:tcBorders>
          <w:bottom w:val="single" w:sz="4" w:space="0" w:color="CC5C99" w:themeColor="accent3"/>
        </w:tcBorders>
      </w:tcPr>
    </w:tblStylePr>
    <w:tblStylePr w:type="lastRow">
      <w:rPr>
        <w:b/>
        <w:bCs/>
      </w:rPr>
      <w:tblPr/>
      <w:tcPr>
        <w:tcBorders>
          <w:top w:val="double" w:sz="4" w:space="0" w:color="CC5C99" w:themeColor="accent3"/>
        </w:tcBorders>
      </w:tcPr>
    </w:tblStylePr>
    <w:tblStylePr w:type="firstCol">
      <w:rPr>
        <w:b/>
        <w:bCs/>
      </w:rPr>
    </w:tblStylePr>
    <w:tblStylePr w:type="lastCol">
      <w:rPr>
        <w:b/>
        <w:bCs/>
      </w:rPr>
    </w:tblStylePr>
    <w:tblStylePr w:type="band1Vert">
      <w:tblPr/>
      <w:tcPr>
        <w:shd w:val="clear" w:color="auto" w:fill="F4DEEA" w:themeFill="accent3" w:themeFillTint="33"/>
      </w:tcPr>
    </w:tblStylePr>
    <w:tblStylePr w:type="band1Horz">
      <w:tblPr/>
      <w:tcPr>
        <w:shd w:val="clear" w:color="auto" w:fill="F4DEEA" w:themeFill="accent3" w:themeFillTint="33"/>
      </w:tcPr>
    </w:tblStylePr>
  </w:style>
  <w:style w:type="table" w:styleId="ListTable6Colorful-Accent4">
    <w:name w:val="List Table 6 Colorful Accent 4"/>
    <w:basedOn w:val="TableNormal"/>
    <w:uiPriority w:val="51"/>
    <w:unhideWhenUsed/>
    <w:rsid w:val="00F978CE"/>
    <w:pPr>
      <w:spacing w:after="0" w:line="240" w:lineRule="auto"/>
    </w:pPr>
    <w:rPr>
      <w:color w:val="5F5F5F" w:themeColor="accent4" w:themeShade="BF"/>
    </w:rPr>
    <w:tblPr>
      <w:tblStyleRowBandSize w:val="1"/>
      <w:tblStyleColBandSize w:val="1"/>
      <w:tblBorders>
        <w:top w:val="single" w:sz="4" w:space="0" w:color="808080" w:themeColor="accent4"/>
        <w:bottom w:val="single" w:sz="4" w:space="0" w:color="808080" w:themeColor="accent4"/>
      </w:tblBorders>
    </w:tblPr>
    <w:tblStylePr w:type="firstRow">
      <w:rPr>
        <w:b/>
        <w:bCs/>
      </w:rPr>
      <w:tblPr/>
      <w:tcPr>
        <w:tcBorders>
          <w:bottom w:val="single" w:sz="4" w:space="0" w:color="808080" w:themeColor="accent4"/>
        </w:tcBorders>
      </w:tcPr>
    </w:tblStylePr>
    <w:tblStylePr w:type="lastRow">
      <w:rPr>
        <w:b/>
        <w:bCs/>
      </w:rPr>
      <w:tblPr/>
      <w:tcPr>
        <w:tcBorders>
          <w:top w:val="double" w:sz="4" w:space="0" w:color="808080" w:themeColor="accent4"/>
        </w:tcBorders>
      </w:tcPr>
    </w:tblStylePr>
    <w:tblStylePr w:type="firstCol">
      <w:rPr>
        <w:b/>
        <w:bCs/>
      </w:rPr>
    </w:tblStylePr>
    <w:tblStylePr w:type="lastCol">
      <w:rPr>
        <w:b/>
        <w:bCs/>
      </w:rPr>
    </w:tblStylePr>
    <w:tblStylePr w:type="band1Vert">
      <w:tblPr/>
      <w:tcPr>
        <w:shd w:val="clear" w:color="auto" w:fill="E5E5E5" w:themeFill="accent4" w:themeFillTint="33"/>
      </w:tcPr>
    </w:tblStylePr>
    <w:tblStylePr w:type="band1Horz">
      <w:tblPr/>
      <w:tcPr>
        <w:shd w:val="clear" w:color="auto" w:fill="E5E5E5" w:themeFill="accent4" w:themeFillTint="33"/>
      </w:tcPr>
    </w:tblStylePr>
  </w:style>
  <w:style w:type="table" w:styleId="ListTable6Colorful-Accent5">
    <w:name w:val="List Table 6 Colorful Accent 5"/>
    <w:basedOn w:val="TableNormal"/>
    <w:uiPriority w:val="51"/>
    <w:unhideWhenUsed/>
    <w:rsid w:val="00F978CE"/>
    <w:pPr>
      <w:spacing w:after="0" w:line="240" w:lineRule="auto"/>
    </w:pPr>
    <w:rPr>
      <w:color w:val="707070" w:themeColor="accent5" w:themeShade="BF"/>
    </w:rPr>
    <w:tblPr>
      <w:tblStyleRowBandSize w:val="1"/>
      <w:tblStyleColBandSize w:val="1"/>
      <w:tblBorders>
        <w:top w:val="single" w:sz="4" w:space="0" w:color="969696" w:themeColor="accent5"/>
        <w:bottom w:val="single" w:sz="4" w:space="0" w:color="969696" w:themeColor="accent5"/>
      </w:tblBorders>
    </w:tblPr>
    <w:tblStylePr w:type="firstRow">
      <w:rPr>
        <w:b/>
        <w:bCs/>
      </w:rPr>
      <w:tblPr/>
      <w:tcPr>
        <w:tcBorders>
          <w:bottom w:val="single" w:sz="4" w:space="0" w:color="969696" w:themeColor="accent5"/>
        </w:tcBorders>
      </w:tcPr>
    </w:tblStylePr>
    <w:tblStylePr w:type="lastRow">
      <w:rPr>
        <w:b/>
        <w:bCs/>
      </w:rPr>
      <w:tblPr/>
      <w:tcPr>
        <w:tcBorders>
          <w:top w:val="double" w:sz="4" w:space="0" w:color="969696" w:themeColor="accent5"/>
        </w:tcBorders>
      </w:tcPr>
    </w:tblStylePr>
    <w:tblStylePr w:type="firstCol">
      <w:rPr>
        <w:b/>
        <w:bCs/>
      </w:rPr>
    </w:tblStylePr>
    <w:tblStylePr w:type="lastCol">
      <w:rPr>
        <w:b/>
        <w:bCs/>
      </w:rPr>
    </w:tblStylePr>
    <w:tblStylePr w:type="band1Vert">
      <w:tblPr/>
      <w:tcPr>
        <w:shd w:val="clear" w:color="auto" w:fill="EAEAEA" w:themeFill="accent5" w:themeFillTint="33"/>
      </w:tcPr>
    </w:tblStylePr>
    <w:tblStylePr w:type="band1Horz">
      <w:tblPr/>
      <w:tcPr>
        <w:shd w:val="clear" w:color="auto" w:fill="EAEAEA" w:themeFill="accent5" w:themeFillTint="33"/>
      </w:tcPr>
    </w:tblStylePr>
  </w:style>
  <w:style w:type="table" w:styleId="ListTable6Colorful-Accent6">
    <w:name w:val="List Table 6 Colorful Accent 6"/>
    <w:basedOn w:val="TableNormal"/>
    <w:uiPriority w:val="51"/>
    <w:unhideWhenUsed/>
    <w:rsid w:val="00F978CE"/>
    <w:pPr>
      <w:spacing w:after="0" w:line="240" w:lineRule="auto"/>
    </w:pPr>
    <w:rPr>
      <w:color w:val="929292" w:themeColor="accent6" w:themeShade="BF"/>
    </w:rPr>
    <w:tblPr>
      <w:tblStyleRowBandSize w:val="1"/>
      <w:tblStyleColBandSize w:val="1"/>
      <w:tblBorders>
        <w:top w:val="single" w:sz="4" w:space="0" w:color="C3C3C3" w:themeColor="accent6"/>
        <w:bottom w:val="single" w:sz="4" w:space="0" w:color="C3C3C3" w:themeColor="accent6"/>
      </w:tblBorders>
    </w:tblPr>
    <w:tblStylePr w:type="firstRow">
      <w:rPr>
        <w:b/>
        <w:bCs/>
      </w:rPr>
      <w:tblPr/>
      <w:tcPr>
        <w:tcBorders>
          <w:bottom w:val="single" w:sz="4" w:space="0" w:color="C3C3C3" w:themeColor="accent6"/>
        </w:tcBorders>
      </w:tcPr>
    </w:tblStylePr>
    <w:tblStylePr w:type="lastRow">
      <w:rPr>
        <w:b/>
        <w:bCs/>
      </w:rPr>
      <w:tblPr/>
      <w:tcPr>
        <w:tcBorders>
          <w:top w:val="double" w:sz="4" w:space="0" w:color="C3C3C3" w:themeColor="accent6"/>
        </w:tcBorders>
      </w:tcPr>
    </w:tblStylePr>
    <w:tblStylePr w:type="firstCol">
      <w:rPr>
        <w:b/>
        <w:bCs/>
      </w:rPr>
    </w:tblStylePr>
    <w:tblStylePr w:type="lastCol">
      <w:rPr>
        <w:b/>
        <w:bCs/>
      </w:rPr>
    </w:tblStylePr>
    <w:tblStylePr w:type="band1Vert">
      <w:tblPr/>
      <w:tcPr>
        <w:shd w:val="clear" w:color="auto" w:fill="F3F3F3" w:themeFill="accent6" w:themeFillTint="33"/>
      </w:tcPr>
    </w:tblStylePr>
    <w:tblStylePr w:type="band1Horz">
      <w:tblPr/>
      <w:tcPr>
        <w:shd w:val="clear" w:color="auto" w:fill="F3F3F3" w:themeFill="accent6" w:themeFillTint="33"/>
      </w:tcPr>
    </w:tblStylePr>
  </w:style>
  <w:style w:type="table" w:styleId="ListTable7Colorful">
    <w:name w:val="List Table 7 Colorful"/>
    <w:basedOn w:val="TableNormal"/>
    <w:uiPriority w:val="52"/>
    <w:unhideWhenUsed/>
    <w:rsid w:val="00F978CE"/>
    <w:pPr>
      <w:spacing w:after="0" w:line="240" w:lineRule="auto"/>
    </w:pPr>
    <w:rPr>
      <w:color w:val="000000" w:themeColor="text1"/>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00000" w:themeColor="tex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0000" w:themeColor="tex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0000" w:themeColor="tex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0000" w:themeColor="text1"/>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1">
    <w:name w:val="List Table 7 Colorful Accent 1"/>
    <w:basedOn w:val="TableNormal"/>
    <w:uiPriority w:val="52"/>
    <w:unhideWhenUsed/>
    <w:rsid w:val="00F978CE"/>
    <w:pPr>
      <w:spacing w:after="0" w:line="240" w:lineRule="auto"/>
    </w:pPr>
    <w:rPr>
      <w:color w:val="830046" w:themeColor="accent1"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AF005F" w:themeColor="accen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AF005F" w:themeColor="accen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AF005F" w:themeColor="accen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AF005F" w:themeColor="accent1"/>
        </w:tcBorders>
        <w:shd w:val="clear" w:color="auto" w:fill="FFFFFF" w:themeFill="background1"/>
      </w:tcPr>
    </w:tblStylePr>
    <w:tblStylePr w:type="band1Vert">
      <w:tblPr/>
      <w:tcPr>
        <w:shd w:val="clear" w:color="auto" w:fill="FFBCE0" w:themeFill="accent1" w:themeFillTint="33"/>
      </w:tcPr>
    </w:tblStylePr>
    <w:tblStylePr w:type="band1Horz">
      <w:tblPr/>
      <w:tcPr>
        <w:shd w:val="clear" w:color="auto" w:fill="FFBCE0" w:themeFill="accen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2">
    <w:name w:val="List Table 7 Colorful Accent 2"/>
    <w:basedOn w:val="TableNormal"/>
    <w:uiPriority w:val="52"/>
    <w:unhideWhenUsed/>
    <w:rsid w:val="00F978CE"/>
    <w:pPr>
      <w:spacing w:after="0" w:line="240" w:lineRule="auto"/>
    </w:pPr>
    <w:rPr>
      <w:color w:val="8E265E" w:themeColor="accent2"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BF337F" w:themeColor="accent2"/>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BF337F" w:themeColor="accent2"/>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BF337F" w:themeColor="accent2"/>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BF337F" w:themeColor="accent2"/>
        </w:tcBorders>
        <w:shd w:val="clear" w:color="auto" w:fill="FFFFFF" w:themeFill="background1"/>
      </w:tcPr>
    </w:tblStylePr>
    <w:tblStylePr w:type="band1Vert">
      <w:tblPr/>
      <w:tcPr>
        <w:shd w:val="clear" w:color="auto" w:fill="F3D4E5" w:themeFill="accent2" w:themeFillTint="33"/>
      </w:tcPr>
    </w:tblStylePr>
    <w:tblStylePr w:type="band1Horz">
      <w:tblPr/>
      <w:tcPr>
        <w:shd w:val="clear" w:color="auto" w:fill="F3D4E5" w:themeFill="accent2"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3">
    <w:name w:val="List Table 7 Colorful Accent 3"/>
    <w:basedOn w:val="TableNormal"/>
    <w:uiPriority w:val="52"/>
    <w:unhideWhenUsed/>
    <w:rsid w:val="00F978CE"/>
    <w:pPr>
      <w:spacing w:after="0" w:line="240" w:lineRule="auto"/>
    </w:pPr>
    <w:rPr>
      <w:color w:val="A83573" w:themeColor="accent3"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CC5C99" w:themeColor="accent3"/>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CC5C99" w:themeColor="accent3"/>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CC5C99" w:themeColor="accent3"/>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CC5C99" w:themeColor="accent3"/>
        </w:tcBorders>
        <w:shd w:val="clear" w:color="auto" w:fill="FFFFFF" w:themeFill="background1"/>
      </w:tcPr>
    </w:tblStylePr>
    <w:tblStylePr w:type="band1Vert">
      <w:tblPr/>
      <w:tcPr>
        <w:shd w:val="clear" w:color="auto" w:fill="F4DEEA" w:themeFill="accent3" w:themeFillTint="33"/>
      </w:tcPr>
    </w:tblStylePr>
    <w:tblStylePr w:type="band1Horz">
      <w:tblPr/>
      <w:tcPr>
        <w:shd w:val="clear" w:color="auto" w:fill="F4DEEA" w:themeFill="accent3"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4">
    <w:name w:val="List Table 7 Colorful Accent 4"/>
    <w:basedOn w:val="TableNormal"/>
    <w:uiPriority w:val="52"/>
    <w:unhideWhenUsed/>
    <w:rsid w:val="00F978CE"/>
    <w:pPr>
      <w:spacing w:after="0" w:line="240" w:lineRule="auto"/>
    </w:pPr>
    <w:rPr>
      <w:color w:val="5F5F5F" w:themeColor="accent4"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808080" w:themeColor="accent4"/>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808080" w:themeColor="accent4"/>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808080" w:themeColor="accent4"/>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808080" w:themeColor="accent4"/>
        </w:tcBorders>
        <w:shd w:val="clear" w:color="auto" w:fill="FFFFFF" w:themeFill="background1"/>
      </w:tcPr>
    </w:tblStylePr>
    <w:tblStylePr w:type="band1Vert">
      <w:tblPr/>
      <w:tcPr>
        <w:shd w:val="clear" w:color="auto" w:fill="E5E5E5" w:themeFill="accent4" w:themeFillTint="33"/>
      </w:tcPr>
    </w:tblStylePr>
    <w:tblStylePr w:type="band1Horz">
      <w:tblPr/>
      <w:tcPr>
        <w:shd w:val="clear" w:color="auto" w:fill="E5E5E5" w:themeFill="accent4"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5">
    <w:name w:val="List Table 7 Colorful Accent 5"/>
    <w:basedOn w:val="TableNormal"/>
    <w:uiPriority w:val="52"/>
    <w:unhideWhenUsed/>
    <w:rsid w:val="00F978CE"/>
    <w:pPr>
      <w:spacing w:after="0" w:line="240" w:lineRule="auto"/>
    </w:pPr>
    <w:rPr>
      <w:color w:val="707070" w:themeColor="accent5"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969696" w:themeColor="accent5"/>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969696" w:themeColor="accent5"/>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969696" w:themeColor="accent5"/>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969696" w:themeColor="accent5"/>
        </w:tcBorders>
        <w:shd w:val="clear" w:color="auto" w:fill="FFFFFF" w:themeFill="background1"/>
      </w:tcPr>
    </w:tblStylePr>
    <w:tblStylePr w:type="band1Vert">
      <w:tblPr/>
      <w:tcPr>
        <w:shd w:val="clear" w:color="auto" w:fill="EAEAEA" w:themeFill="accent5" w:themeFillTint="33"/>
      </w:tcPr>
    </w:tblStylePr>
    <w:tblStylePr w:type="band1Horz">
      <w:tblPr/>
      <w:tcPr>
        <w:shd w:val="clear" w:color="auto" w:fill="EAEAEA" w:themeFill="accent5"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6">
    <w:name w:val="List Table 7 Colorful Accent 6"/>
    <w:basedOn w:val="TableNormal"/>
    <w:uiPriority w:val="52"/>
    <w:unhideWhenUsed/>
    <w:rsid w:val="00F978CE"/>
    <w:pPr>
      <w:spacing w:after="0" w:line="240" w:lineRule="auto"/>
    </w:pPr>
    <w:rPr>
      <w:color w:val="929292" w:themeColor="accent6"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C3C3C3" w:themeColor="accent6"/>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C3C3C3" w:themeColor="accent6"/>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C3C3C3" w:themeColor="accent6"/>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C3C3C3" w:themeColor="accent6"/>
        </w:tcBorders>
        <w:shd w:val="clear" w:color="auto" w:fill="FFFFFF" w:themeFill="background1"/>
      </w:tcPr>
    </w:tblStylePr>
    <w:tblStylePr w:type="band1Vert">
      <w:tblPr/>
      <w:tcPr>
        <w:shd w:val="clear" w:color="auto" w:fill="F3F3F3" w:themeFill="accent6" w:themeFillTint="33"/>
      </w:tcPr>
    </w:tblStylePr>
    <w:tblStylePr w:type="band1Horz">
      <w:tblPr/>
      <w:tcPr>
        <w:shd w:val="clear" w:color="auto" w:fill="F3F3F3" w:themeFill="accent6"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MacroText">
    <w:name w:val="macro"/>
    <w:uiPriority w:val="99"/>
    <w:unhideWhenUsed/>
    <w:rsid w:val="00F978CE"/>
    <w:pPr>
      <w:tabs>
        <w:tab w:val="left" w:pos="480"/>
        <w:tab w:val="left" w:pos="960"/>
        <w:tab w:val="left" w:pos="1440"/>
        <w:tab w:val="left" w:pos="1920"/>
        <w:tab w:val="left" w:pos="2400"/>
        <w:tab w:val="left" w:pos="2880"/>
        <w:tab w:val="left" w:pos="3360"/>
        <w:tab w:val="left" w:pos="3840"/>
        <w:tab w:val="left" w:pos="4320"/>
      </w:tabs>
      <w:spacing w:after="0" w:line="240" w:lineRule="auto"/>
    </w:pPr>
    <w:rPr>
      <w:rFonts w:ascii="Consolas" w:hAnsi="Consolas"/>
      <w:sz w:val="20"/>
      <w:szCs w:val="20"/>
    </w:rPr>
  </w:style>
  <w:style w:type="table" w:styleId="MediumGrid1">
    <w:name w:val="Medium Grid 1"/>
    <w:basedOn w:val="TableNormal"/>
    <w:uiPriority w:val="67"/>
    <w:unhideWhenUsed/>
    <w:rsid w:val="00F978CE"/>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unhideWhenUsed/>
    <w:rsid w:val="00F978CE"/>
    <w:pPr>
      <w:spacing w:after="0" w:line="240" w:lineRule="auto"/>
    </w:pPr>
    <w:tblPr>
      <w:tblStyleRowBandSize w:val="1"/>
      <w:tblStyleColBandSize w:val="1"/>
      <w:tblBorders>
        <w:top w:val="single" w:sz="8" w:space="0" w:color="FF048B" w:themeColor="accent1" w:themeTint="BF"/>
        <w:left w:val="single" w:sz="8" w:space="0" w:color="FF048B" w:themeColor="accent1" w:themeTint="BF"/>
        <w:bottom w:val="single" w:sz="8" w:space="0" w:color="FF048B" w:themeColor="accent1" w:themeTint="BF"/>
        <w:right w:val="single" w:sz="8" w:space="0" w:color="FF048B" w:themeColor="accent1" w:themeTint="BF"/>
        <w:insideH w:val="single" w:sz="8" w:space="0" w:color="FF048B" w:themeColor="accent1" w:themeTint="BF"/>
        <w:insideV w:val="single" w:sz="8" w:space="0" w:color="FF048B" w:themeColor="accent1" w:themeTint="BF"/>
      </w:tblBorders>
    </w:tblPr>
    <w:tcPr>
      <w:shd w:val="clear" w:color="auto" w:fill="FFACD8" w:themeFill="accent1" w:themeFillTint="3F"/>
    </w:tcPr>
    <w:tblStylePr w:type="firstRow">
      <w:rPr>
        <w:b/>
        <w:bCs/>
      </w:rPr>
    </w:tblStylePr>
    <w:tblStylePr w:type="lastRow">
      <w:rPr>
        <w:b/>
        <w:bCs/>
      </w:rPr>
      <w:tblPr/>
      <w:tcPr>
        <w:tcBorders>
          <w:top w:val="single" w:sz="18" w:space="0" w:color="FF048B" w:themeColor="accent1" w:themeTint="BF"/>
        </w:tcBorders>
      </w:tcPr>
    </w:tblStylePr>
    <w:tblStylePr w:type="firstCol">
      <w:rPr>
        <w:b/>
        <w:bCs/>
      </w:rPr>
    </w:tblStylePr>
    <w:tblStylePr w:type="lastCol">
      <w:rPr>
        <w:b/>
        <w:bCs/>
      </w:rPr>
    </w:tblStylePr>
    <w:tblStylePr w:type="band1Vert">
      <w:tblPr/>
      <w:tcPr>
        <w:shd w:val="clear" w:color="auto" w:fill="FF58B2" w:themeFill="accent1" w:themeFillTint="7F"/>
      </w:tcPr>
    </w:tblStylePr>
    <w:tblStylePr w:type="band1Horz">
      <w:tblPr/>
      <w:tcPr>
        <w:shd w:val="clear" w:color="auto" w:fill="FF58B2" w:themeFill="accent1" w:themeFillTint="7F"/>
      </w:tcPr>
    </w:tblStylePr>
  </w:style>
  <w:style w:type="table" w:styleId="MediumGrid1-Accent2">
    <w:name w:val="Medium Grid 1 Accent 2"/>
    <w:basedOn w:val="TableNormal"/>
    <w:uiPriority w:val="67"/>
    <w:unhideWhenUsed/>
    <w:rsid w:val="00F978CE"/>
    <w:pPr>
      <w:spacing w:after="0" w:line="240" w:lineRule="auto"/>
    </w:pPr>
    <w:tblPr>
      <w:tblStyleRowBandSize w:val="1"/>
      <w:tblStyleColBandSize w:val="1"/>
      <w:tblBorders>
        <w:top w:val="single" w:sz="8" w:space="0" w:color="D4609F" w:themeColor="accent2" w:themeTint="BF"/>
        <w:left w:val="single" w:sz="8" w:space="0" w:color="D4609F" w:themeColor="accent2" w:themeTint="BF"/>
        <w:bottom w:val="single" w:sz="8" w:space="0" w:color="D4609F" w:themeColor="accent2" w:themeTint="BF"/>
        <w:right w:val="single" w:sz="8" w:space="0" w:color="D4609F" w:themeColor="accent2" w:themeTint="BF"/>
        <w:insideH w:val="single" w:sz="8" w:space="0" w:color="D4609F" w:themeColor="accent2" w:themeTint="BF"/>
        <w:insideV w:val="single" w:sz="8" w:space="0" w:color="D4609F" w:themeColor="accent2" w:themeTint="BF"/>
      </w:tblBorders>
    </w:tblPr>
    <w:tcPr>
      <w:shd w:val="clear" w:color="auto" w:fill="F1CADF" w:themeFill="accent2" w:themeFillTint="3F"/>
    </w:tcPr>
    <w:tblStylePr w:type="firstRow">
      <w:rPr>
        <w:b/>
        <w:bCs/>
      </w:rPr>
    </w:tblStylePr>
    <w:tblStylePr w:type="lastRow">
      <w:rPr>
        <w:b/>
        <w:bCs/>
      </w:rPr>
      <w:tblPr/>
      <w:tcPr>
        <w:tcBorders>
          <w:top w:val="single" w:sz="18" w:space="0" w:color="D4609F" w:themeColor="accent2" w:themeTint="BF"/>
        </w:tcBorders>
      </w:tcPr>
    </w:tblStylePr>
    <w:tblStylePr w:type="firstCol">
      <w:rPr>
        <w:b/>
        <w:bCs/>
      </w:rPr>
    </w:tblStylePr>
    <w:tblStylePr w:type="lastCol">
      <w:rPr>
        <w:b/>
        <w:bCs/>
      </w:rPr>
    </w:tblStylePr>
    <w:tblStylePr w:type="band1Vert">
      <w:tblPr/>
      <w:tcPr>
        <w:shd w:val="clear" w:color="auto" w:fill="E295BF" w:themeFill="accent2" w:themeFillTint="7F"/>
      </w:tcPr>
    </w:tblStylePr>
    <w:tblStylePr w:type="band1Horz">
      <w:tblPr/>
      <w:tcPr>
        <w:shd w:val="clear" w:color="auto" w:fill="E295BF" w:themeFill="accent2" w:themeFillTint="7F"/>
      </w:tcPr>
    </w:tblStylePr>
  </w:style>
  <w:style w:type="table" w:styleId="MediumGrid1-Accent3">
    <w:name w:val="Medium Grid 1 Accent 3"/>
    <w:basedOn w:val="TableNormal"/>
    <w:uiPriority w:val="67"/>
    <w:unhideWhenUsed/>
    <w:rsid w:val="00F978CE"/>
    <w:pPr>
      <w:spacing w:after="0" w:line="240" w:lineRule="auto"/>
    </w:pPr>
    <w:tblPr>
      <w:tblStyleRowBandSize w:val="1"/>
      <w:tblStyleColBandSize w:val="1"/>
      <w:tblBorders>
        <w:top w:val="single" w:sz="8" w:space="0" w:color="D884B2" w:themeColor="accent3" w:themeTint="BF"/>
        <w:left w:val="single" w:sz="8" w:space="0" w:color="D884B2" w:themeColor="accent3" w:themeTint="BF"/>
        <w:bottom w:val="single" w:sz="8" w:space="0" w:color="D884B2" w:themeColor="accent3" w:themeTint="BF"/>
        <w:right w:val="single" w:sz="8" w:space="0" w:color="D884B2" w:themeColor="accent3" w:themeTint="BF"/>
        <w:insideH w:val="single" w:sz="8" w:space="0" w:color="D884B2" w:themeColor="accent3" w:themeTint="BF"/>
        <w:insideV w:val="single" w:sz="8" w:space="0" w:color="D884B2" w:themeColor="accent3" w:themeTint="BF"/>
      </w:tblBorders>
    </w:tblPr>
    <w:tcPr>
      <w:shd w:val="clear" w:color="auto" w:fill="F2D6E5" w:themeFill="accent3" w:themeFillTint="3F"/>
    </w:tcPr>
    <w:tblStylePr w:type="firstRow">
      <w:rPr>
        <w:b/>
        <w:bCs/>
      </w:rPr>
    </w:tblStylePr>
    <w:tblStylePr w:type="lastRow">
      <w:rPr>
        <w:b/>
        <w:bCs/>
      </w:rPr>
      <w:tblPr/>
      <w:tcPr>
        <w:tcBorders>
          <w:top w:val="single" w:sz="18" w:space="0" w:color="D884B2" w:themeColor="accent3" w:themeTint="BF"/>
        </w:tcBorders>
      </w:tcPr>
    </w:tblStylePr>
    <w:tblStylePr w:type="firstCol">
      <w:rPr>
        <w:b/>
        <w:bCs/>
      </w:rPr>
    </w:tblStylePr>
    <w:tblStylePr w:type="lastCol">
      <w:rPr>
        <w:b/>
        <w:bCs/>
      </w:rPr>
    </w:tblStylePr>
    <w:tblStylePr w:type="band1Vert">
      <w:tblPr/>
      <w:tcPr>
        <w:shd w:val="clear" w:color="auto" w:fill="E5ADCB" w:themeFill="accent3" w:themeFillTint="7F"/>
      </w:tcPr>
    </w:tblStylePr>
    <w:tblStylePr w:type="band1Horz">
      <w:tblPr/>
      <w:tcPr>
        <w:shd w:val="clear" w:color="auto" w:fill="E5ADCB" w:themeFill="accent3" w:themeFillTint="7F"/>
      </w:tcPr>
    </w:tblStylePr>
  </w:style>
  <w:style w:type="table" w:styleId="MediumGrid1-Accent4">
    <w:name w:val="Medium Grid 1 Accent 4"/>
    <w:basedOn w:val="TableNormal"/>
    <w:uiPriority w:val="67"/>
    <w:unhideWhenUsed/>
    <w:rsid w:val="00F978CE"/>
    <w:pPr>
      <w:spacing w:after="0" w:line="240" w:lineRule="auto"/>
    </w:pPr>
    <w:tblPr>
      <w:tblStyleRowBandSize w:val="1"/>
      <w:tblStyleColBandSize w:val="1"/>
      <w:tblBorders>
        <w:top w:val="single" w:sz="8" w:space="0" w:color="9F9F9F" w:themeColor="accent4" w:themeTint="BF"/>
        <w:left w:val="single" w:sz="8" w:space="0" w:color="9F9F9F" w:themeColor="accent4" w:themeTint="BF"/>
        <w:bottom w:val="single" w:sz="8" w:space="0" w:color="9F9F9F" w:themeColor="accent4" w:themeTint="BF"/>
        <w:right w:val="single" w:sz="8" w:space="0" w:color="9F9F9F" w:themeColor="accent4" w:themeTint="BF"/>
        <w:insideH w:val="single" w:sz="8" w:space="0" w:color="9F9F9F" w:themeColor="accent4" w:themeTint="BF"/>
        <w:insideV w:val="single" w:sz="8" w:space="0" w:color="9F9F9F" w:themeColor="accent4" w:themeTint="BF"/>
      </w:tblBorders>
    </w:tblPr>
    <w:tcPr>
      <w:shd w:val="clear" w:color="auto" w:fill="DFDFDF" w:themeFill="accent4" w:themeFillTint="3F"/>
    </w:tcPr>
    <w:tblStylePr w:type="firstRow">
      <w:rPr>
        <w:b/>
        <w:bCs/>
      </w:rPr>
    </w:tblStylePr>
    <w:tblStylePr w:type="lastRow">
      <w:rPr>
        <w:b/>
        <w:bCs/>
      </w:rPr>
      <w:tblPr/>
      <w:tcPr>
        <w:tcBorders>
          <w:top w:val="single" w:sz="18" w:space="0" w:color="9F9F9F" w:themeColor="accent4" w:themeTint="BF"/>
        </w:tcBorders>
      </w:tcPr>
    </w:tblStylePr>
    <w:tblStylePr w:type="firstCol">
      <w:rPr>
        <w:b/>
        <w:bCs/>
      </w:rPr>
    </w:tblStylePr>
    <w:tblStylePr w:type="lastCol">
      <w:rPr>
        <w:b/>
        <w:bCs/>
      </w:rPr>
    </w:tblStylePr>
    <w:tblStylePr w:type="band1Vert">
      <w:tblPr/>
      <w:tcPr>
        <w:shd w:val="clear" w:color="auto" w:fill="BFBFBF" w:themeFill="accent4" w:themeFillTint="7F"/>
      </w:tcPr>
    </w:tblStylePr>
    <w:tblStylePr w:type="band1Horz">
      <w:tblPr/>
      <w:tcPr>
        <w:shd w:val="clear" w:color="auto" w:fill="BFBFBF" w:themeFill="accent4" w:themeFillTint="7F"/>
      </w:tcPr>
    </w:tblStylePr>
  </w:style>
  <w:style w:type="table" w:styleId="MediumGrid1-Accent5">
    <w:name w:val="Medium Grid 1 Accent 5"/>
    <w:basedOn w:val="TableNormal"/>
    <w:uiPriority w:val="67"/>
    <w:unhideWhenUsed/>
    <w:rsid w:val="00F978CE"/>
    <w:pPr>
      <w:spacing w:after="0" w:line="240" w:lineRule="auto"/>
    </w:pPr>
    <w:tblPr>
      <w:tblStyleRowBandSize w:val="1"/>
      <w:tblStyleColBandSize w:val="1"/>
      <w:tblBorders>
        <w:top w:val="single" w:sz="8" w:space="0" w:color="B0B0B0" w:themeColor="accent5" w:themeTint="BF"/>
        <w:left w:val="single" w:sz="8" w:space="0" w:color="B0B0B0" w:themeColor="accent5" w:themeTint="BF"/>
        <w:bottom w:val="single" w:sz="8" w:space="0" w:color="B0B0B0" w:themeColor="accent5" w:themeTint="BF"/>
        <w:right w:val="single" w:sz="8" w:space="0" w:color="B0B0B0" w:themeColor="accent5" w:themeTint="BF"/>
        <w:insideH w:val="single" w:sz="8" w:space="0" w:color="B0B0B0" w:themeColor="accent5" w:themeTint="BF"/>
        <w:insideV w:val="single" w:sz="8" w:space="0" w:color="B0B0B0" w:themeColor="accent5" w:themeTint="BF"/>
      </w:tblBorders>
    </w:tblPr>
    <w:tcPr>
      <w:shd w:val="clear" w:color="auto" w:fill="E5E5E5" w:themeFill="accent5" w:themeFillTint="3F"/>
    </w:tcPr>
    <w:tblStylePr w:type="firstRow">
      <w:rPr>
        <w:b/>
        <w:bCs/>
      </w:rPr>
    </w:tblStylePr>
    <w:tblStylePr w:type="lastRow">
      <w:rPr>
        <w:b/>
        <w:bCs/>
      </w:rPr>
      <w:tblPr/>
      <w:tcPr>
        <w:tcBorders>
          <w:top w:val="single" w:sz="18" w:space="0" w:color="B0B0B0" w:themeColor="accent5" w:themeTint="BF"/>
        </w:tcBorders>
      </w:tcPr>
    </w:tblStylePr>
    <w:tblStylePr w:type="firstCol">
      <w:rPr>
        <w:b/>
        <w:bCs/>
      </w:rPr>
    </w:tblStylePr>
    <w:tblStylePr w:type="lastCol">
      <w:rPr>
        <w:b/>
        <w:bCs/>
      </w:rPr>
    </w:tblStylePr>
    <w:tblStylePr w:type="band1Vert">
      <w:tblPr/>
      <w:tcPr>
        <w:shd w:val="clear" w:color="auto" w:fill="CACACA" w:themeFill="accent5" w:themeFillTint="7F"/>
      </w:tcPr>
    </w:tblStylePr>
    <w:tblStylePr w:type="band1Horz">
      <w:tblPr/>
      <w:tcPr>
        <w:shd w:val="clear" w:color="auto" w:fill="CACACA" w:themeFill="accent5" w:themeFillTint="7F"/>
      </w:tcPr>
    </w:tblStylePr>
  </w:style>
  <w:style w:type="table" w:styleId="MediumGrid1-Accent6">
    <w:name w:val="Medium Grid 1 Accent 6"/>
    <w:basedOn w:val="TableNormal"/>
    <w:uiPriority w:val="67"/>
    <w:unhideWhenUsed/>
    <w:rsid w:val="00F978CE"/>
    <w:pPr>
      <w:spacing w:after="0" w:line="240" w:lineRule="auto"/>
    </w:pPr>
    <w:tblPr>
      <w:tblStyleRowBandSize w:val="1"/>
      <w:tblStyleColBandSize w:val="1"/>
      <w:tblBorders>
        <w:top w:val="single" w:sz="8" w:space="0" w:color="D2D2D2" w:themeColor="accent6" w:themeTint="BF"/>
        <w:left w:val="single" w:sz="8" w:space="0" w:color="D2D2D2" w:themeColor="accent6" w:themeTint="BF"/>
        <w:bottom w:val="single" w:sz="8" w:space="0" w:color="D2D2D2" w:themeColor="accent6" w:themeTint="BF"/>
        <w:right w:val="single" w:sz="8" w:space="0" w:color="D2D2D2" w:themeColor="accent6" w:themeTint="BF"/>
        <w:insideH w:val="single" w:sz="8" w:space="0" w:color="D2D2D2" w:themeColor="accent6" w:themeTint="BF"/>
        <w:insideV w:val="single" w:sz="8" w:space="0" w:color="D2D2D2" w:themeColor="accent6" w:themeTint="BF"/>
      </w:tblBorders>
    </w:tblPr>
    <w:tcPr>
      <w:shd w:val="clear" w:color="auto" w:fill="F0F0F0" w:themeFill="accent6" w:themeFillTint="3F"/>
    </w:tcPr>
    <w:tblStylePr w:type="firstRow">
      <w:rPr>
        <w:b/>
        <w:bCs/>
      </w:rPr>
    </w:tblStylePr>
    <w:tblStylePr w:type="lastRow">
      <w:rPr>
        <w:b/>
        <w:bCs/>
      </w:rPr>
      <w:tblPr/>
      <w:tcPr>
        <w:tcBorders>
          <w:top w:val="single" w:sz="18" w:space="0" w:color="D2D2D2" w:themeColor="accent6" w:themeTint="BF"/>
        </w:tcBorders>
      </w:tcPr>
    </w:tblStylePr>
    <w:tblStylePr w:type="firstCol">
      <w:rPr>
        <w:b/>
        <w:bCs/>
      </w:rPr>
    </w:tblStylePr>
    <w:tblStylePr w:type="lastCol">
      <w:rPr>
        <w:b/>
        <w:bCs/>
      </w:rPr>
    </w:tblStylePr>
    <w:tblStylePr w:type="band1Vert">
      <w:tblPr/>
      <w:tcPr>
        <w:shd w:val="clear" w:color="auto" w:fill="E1E1E1" w:themeFill="accent6" w:themeFillTint="7F"/>
      </w:tcPr>
    </w:tblStylePr>
    <w:tblStylePr w:type="band1Horz">
      <w:tblPr/>
      <w:tcPr>
        <w:shd w:val="clear" w:color="auto" w:fill="E1E1E1" w:themeFill="accent6" w:themeFillTint="7F"/>
      </w:tcPr>
    </w:tblStylePr>
  </w:style>
  <w:style w:type="table" w:styleId="MediumGrid2">
    <w:name w:val="Medium Grid 2"/>
    <w:basedOn w:val="TableNormal"/>
    <w:uiPriority w:val="68"/>
    <w:unhideWhenUsed/>
    <w:rsid w:val="00F978CE"/>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unhideWhenUsed/>
    <w:rsid w:val="00F978CE"/>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AF005F" w:themeColor="accent1"/>
        <w:left w:val="single" w:sz="8" w:space="0" w:color="AF005F" w:themeColor="accent1"/>
        <w:bottom w:val="single" w:sz="8" w:space="0" w:color="AF005F" w:themeColor="accent1"/>
        <w:right w:val="single" w:sz="8" w:space="0" w:color="AF005F" w:themeColor="accent1"/>
        <w:insideH w:val="single" w:sz="8" w:space="0" w:color="AF005F" w:themeColor="accent1"/>
        <w:insideV w:val="single" w:sz="8" w:space="0" w:color="AF005F" w:themeColor="accent1"/>
      </w:tblBorders>
    </w:tblPr>
    <w:tcPr>
      <w:shd w:val="clear" w:color="auto" w:fill="FFACD8" w:themeFill="accent1" w:themeFillTint="3F"/>
    </w:tcPr>
    <w:tblStylePr w:type="firstRow">
      <w:rPr>
        <w:b/>
        <w:bCs/>
        <w:color w:val="000000" w:themeColor="text1"/>
      </w:rPr>
      <w:tblPr/>
      <w:tcPr>
        <w:shd w:val="clear" w:color="auto" w:fill="FFDEEF"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BCE0" w:themeFill="accent1" w:themeFillTint="33"/>
      </w:tcPr>
    </w:tblStylePr>
    <w:tblStylePr w:type="band1Vert">
      <w:tblPr/>
      <w:tcPr>
        <w:shd w:val="clear" w:color="auto" w:fill="FF58B2" w:themeFill="accent1" w:themeFillTint="7F"/>
      </w:tcPr>
    </w:tblStylePr>
    <w:tblStylePr w:type="band1Horz">
      <w:tblPr/>
      <w:tcPr>
        <w:tcBorders>
          <w:insideH w:val="single" w:sz="6" w:space="0" w:color="AF005F" w:themeColor="accent1"/>
          <w:insideV w:val="single" w:sz="6" w:space="0" w:color="AF005F" w:themeColor="accent1"/>
        </w:tcBorders>
        <w:shd w:val="clear" w:color="auto" w:fill="FF58B2"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unhideWhenUsed/>
    <w:rsid w:val="00F978CE"/>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BF337F" w:themeColor="accent2"/>
        <w:left w:val="single" w:sz="8" w:space="0" w:color="BF337F" w:themeColor="accent2"/>
        <w:bottom w:val="single" w:sz="8" w:space="0" w:color="BF337F" w:themeColor="accent2"/>
        <w:right w:val="single" w:sz="8" w:space="0" w:color="BF337F" w:themeColor="accent2"/>
        <w:insideH w:val="single" w:sz="8" w:space="0" w:color="BF337F" w:themeColor="accent2"/>
        <w:insideV w:val="single" w:sz="8" w:space="0" w:color="BF337F" w:themeColor="accent2"/>
      </w:tblBorders>
    </w:tblPr>
    <w:tcPr>
      <w:shd w:val="clear" w:color="auto" w:fill="F1CADF" w:themeFill="accent2" w:themeFillTint="3F"/>
    </w:tcPr>
    <w:tblStylePr w:type="firstRow">
      <w:rPr>
        <w:b/>
        <w:bCs/>
        <w:color w:val="000000" w:themeColor="text1"/>
      </w:rPr>
      <w:tblPr/>
      <w:tcPr>
        <w:shd w:val="clear" w:color="auto" w:fill="F9EAF2"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3D4E5" w:themeFill="accent2" w:themeFillTint="33"/>
      </w:tcPr>
    </w:tblStylePr>
    <w:tblStylePr w:type="band1Vert">
      <w:tblPr/>
      <w:tcPr>
        <w:shd w:val="clear" w:color="auto" w:fill="E295BF" w:themeFill="accent2" w:themeFillTint="7F"/>
      </w:tcPr>
    </w:tblStylePr>
    <w:tblStylePr w:type="band1Horz">
      <w:tblPr/>
      <w:tcPr>
        <w:tcBorders>
          <w:insideH w:val="single" w:sz="6" w:space="0" w:color="BF337F" w:themeColor="accent2"/>
          <w:insideV w:val="single" w:sz="6" w:space="0" w:color="BF337F" w:themeColor="accent2"/>
        </w:tcBorders>
        <w:shd w:val="clear" w:color="auto" w:fill="E295BF"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unhideWhenUsed/>
    <w:rsid w:val="00F978CE"/>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C5C99" w:themeColor="accent3"/>
        <w:left w:val="single" w:sz="8" w:space="0" w:color="CC5C99" w:themeColor="accent3"/>
        <w:bottom w:val="single" w:sz="8" w:space="0" w:color="CC5C99" w:themeColor="accent3"/>
        <w:right w:val="single" w:sz="8" w:space="0" w:color="CC5C99" w:themeColor="accent3"/>
        <w:insideH w:val="single" w:sz="8" w:space="0" w:color="CC5C99" w:themeColor="accent3"/>
        <w:insideV w:val="single" w:sz="8" w:space="0" w:color="CC5C99" w:themeColor="accent3"/>
      </w:tblBorders>
    </w:tblPr>
    <w:tcPr>
      <w:shd w:val="clear" w:color="auto" w:fill="F2D6E5" w:themeFill="accent3" w:themeFillTint="3F"/>
    </w:tcPr>
    <w:tblStylePr w:type="firstRow">
      <w:rPr>
        <w:b/>
        <w:bCs/>
        <w:color w:val="000000" w:themeColor="text1"/>
      </w:rPr>
      <w:tblPr/>
      <w:tcPr>
        <w:shd w:val="clear" w:color="auto" w:fill="FAEFF4"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4DEEA" w:themeFill="accent3" w:themeFillTint="33"/>
      </w:tcPr>
    </w:tblStylePr>
    <w:tblStylePr w:type="band1Vert">
      <w:tblPr/>
      <w:tcPr>
        <w:shd w:val="clear" w:color="auto" w:fill="E5ADCB" w:themeFill="accent3" w:themeFillTint="7F"/>
      </w:tcPr>
    </w:tblStylePr>
    <w:tblStylePr w:type="band1Horz">
      <w:tblPr/>
      <w:tcPr>
        <w:tcBorders>
          <w:insideH w:val="single" w:sz="6" w:space="0" w:color="CC5C99" w:themeColor="accent3"/>
          <w:insideV w:val="single" w:sz="6" w:space="0" w:color="CC5C99" w:themeColor="accent3"/>
        </w:tcBorders>
        <w:shd w:val="clear" w:color="auto" w:fill="E5ADCB"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unhideWhenUsed/>
    <w:rsid w:val="00F978CE"/>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8080" w:themeColor="accent4"/>
        <w:left w:val="single" w:sz="8" w:space="0" w:color="808080" w:themeColor="accent4"/>
        <w:bottom w:val="single" w:sz="8" w:space="0" w:color="808080" w:themeColor="accent4"/>
        <w:right w:val="single" w:sz="8" w:space="0" w:color="808080" w:themeColor="accent4"/>
        <w:insideH w:val="single" w:sz="8" w:space="0" w:color="808080" w:themeColor="accent4"/>
        <w:insideV w:val="single" w:sz="8" w:space="0" w:color="808080" w:themeColor="accent4"/>
      </w:tblBorders>
    </w:tblPr>
    <w:tcPr>
      <w:shd w:val="clear" w:color="auto" w:fill="DFDFDF" w:themeFill="accent4" w:themeFillTint="3F"/>
    </w:tcPr>
    <w:tblStylePr w:type="firstRow">
      <w:rPr>
        <w:b/>
        <w:bCs/>
        <w:color w:val="000000" w:themeColor="text1"/>
      </w:rPr>
      <w:tblPr/>
      <w:tcPr>
        <w:shd w:val="clear" w:color="auto" w:fill="F2F2F2"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E5E5" w:themeFill="accent4" w:themeFillTint="33"/>
      </w:tcPr>
    </w:tblStylePr>
    <w:tblStylePr w:type="band1Vert">
      <w:tblPr/>
      <w:tcPr>
        <w:shd w:val="clear" w:color="auto" w:fill="BFBFBF" w:themeFill="accent4" w:themeFillTint="7F"/>
      </w:tcPr>
    </w:tblStylePr>
    <w:tblStylePr w:type="band1Horz">
      <w:tblPr/>
      <w:tcPr>
        <w:tcBorders>
          <w:insideH w:val="single" w:sz="6" w:space="0" w:color="808080" w:themeColor="accent4"/>
          <w:insideV w:val="single" w:sz="6" w:space="0" w:color="808080" w:themeColor="accent4"/>
        </w:tcBorders>
        <w:shd w:val="clear" w:color="auto" w:fill="BFBFBF"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unhideWhenUsed/>
    <w:rsid w:val="00F978CE"/>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69696" w:themeColor="accent5"/>
        <w:left w:val="single" w:sz="8" w:space="0" w:color="969696" w:themeColor="accent5"/>
        <w:bottom w:val="single" w:sz="8" w:space="0" w:color="969696" w:themeColor="accent5"/>
        <w:right w:val="single" w:sz="8" w:space="0" w:color="969696" w:themeColor="accent5"/>
        <w:insideH w:val="single" w:sz="8" w:space="0" w:color="969696" w:themeColor="accent5"/>
        <w:insideV w:val="single" w:sz="8" w:space="0" w:color="969696" w:themeColor="accent5"/>
      </w:tblBorders>
    </w:tblPr>
    <w:tcPr>
      <w:shd w:val="clear" w:color="auto" w:fill="E5E5E5" w:themeFill="accent5" w:themeFillTint="3F"/>
    </w:tcPr>
    <w:tblStylePr w:type="firstRow">
      <w:rPr>
        <w:b/>
        <w:bCs/>
        <w:color w:val="000000" w:themeColor="text1"/>
      </w:rPr>
      <w:tblPr/>
      <w:tcPr>
        <w:shd w:val="clear" w:color="auto" w:fill="F4F4F4"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EAEA" w:themeFill="accent5" w:themeFillTint="33"/>
      </w:tcPr>
    </w:tblStylePr>
    <w:tblStylePr w:type="band1Vert">
      <w:tblPr/>
      <w:tcPr>
        <w:shd w:val="clear" w:color="auto" w:fill="CACACA" w:themeFill="accent5" w:themeFillTint="7F"/>
      </w:tcPr>
    </w:tblStylePr>
    <w:tblStylePr w:type="band1Horz">
      <w:tblPr/>
      <w:tcPr>
        <w:tcBorders>
          <w:insideH w:val="single" w:sz="6" w:space="0" w:color="969696" w:themeColor="accent5"/>
          <w:insideV w:val="single" w:sz="6" w:space="0" w:color="969696" w:themeColor="accent5"/>
        </w:tcBorders>
        <w:shd w:val="clear" w:color="auto" w:fill="CACACA"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unhideWhenUsed/>
    <w:rsid w:val="00F978CE"/>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3C3C3" w:themeColor="accent6"/>
        <w:left w:val="single" w:sz="8" w:space="0" w:color="C3C3C3" w:themeColor="accent6"/>
        <w:bottom w:val="single" w:sz="8" w:space="0" w:color="C3C3C3" w:themeColor="accent6"/>
        <w:right w:val="single" w:sz="8" w:space="0" w:color="C3C3C3" w:themeColor="accent6"/>
        <w:insideH w:val="single" w:sz="8" w:space="0" w:color="C3C3C3" w:themeColor="accent6"/>
        <w:insideV w:val="single" w:sz="8" w:space="0" w:color="C3C3C3" w:themeColor="accent6"/>
      </w:tblBorders>
    </w:tblPr>
    <w:tcPr>
      <w:shd w:val="clear" w:color="auto" w:fill="F0F0F0" w:themeFill="accent6" w:themeFillTint="3F"/>
    </w:tcPr>
    <w:tblStylePr w:type="firstRow">
      <w:rPr>
        <w:b/>
        <w:bCs/>
        <w:color w:val="000000" w:themeColor="text1"/>
      </w:rPr>
      <w:tblPr/>
      <w:tcPr>
        <w:shd w:val="clear" w:color="auto" w:fill="F9F9F9"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3F3F3" w:themeFill="accent6" w:themeFillTint="33"/>
      </w:tcPr>
    </w:tblStylePr>
    <w:tblStylePr w:type="band1Vert">
      <w:tblPr/>
      <w:tcPr>
        <w:shd w:val="clear" w:color="auto" w:fill="E1E1E1" w:themeFill="accent6" w:themeFillTint="7F"/>
      </w:tcPr>
    </w:tblStylePr>
    <w:tblStylePr w:type="band1Horz">
      <w:tblPr/>
      <w:tcPr>
        <w:tcBorders>
          <w:insideH w:val="single" w:sz="6" w:space="0" w:color="C3C3C3" w:themeColor="accent6"/>
          <w:insideV w:val="single" w:sz="6" w:space="0" w:color="C3C3C3" w:themeColor="accent6"/>
        </w:tcBorders>
        <w:shd w:val="clear" w:color="auto" w:fill="E1E1E1"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unhideWhenUsed/>
    <w:rsid w:val="00F978CE"/>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unhideWhenUsed/>
    <w:rsid w:val="00F978CE"/>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ACD8"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F005F"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F005F"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F005F"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F005F"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58B2"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58B2" w:themeFill="accent1" w:themeFillTint="7F"/>
      </w:tcPr>
    </w:tblStylePr>
  </w:style>
  <w:style w:type="table" w:styleId="MediumGrid3-Accent2">
    <w:name w:val="Medium Grid 3 Accent 2"/>
    <w:basedOn w:val="TableNormal"/>
    <w:uiPriority w:val="69"/>
    <w:unhideWhenUsed/>
    <w:rsid w:val="00F978CE"/>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1CADF"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BF337F"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BF337F"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BF337F"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BF337F"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E295BF"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E295BF" w:themeFill="accent2" w:themeFillTint="7F"/>
      </w:tcPr>
    </w:tblStylePr>
  </w:style>
  <w:style w:type="table" w:styleId="MediumGrid3-Accent3">
    <w:name w:val="Medium Grid 3 Accent 3"/>
    <w:basedOn w:val="TableNormal"/>
    <w:uiPriority w:val="69"/>
    <w:unhideWhenUsed/>
    <w:rsid w:val="00F978CE"/>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2D6E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C5C9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C5C9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C5C9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C5C9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E5ADCB"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E5ADCB" w:themeFill="accent3" w:themeFillTint="7F"/>
      </w:tcPr>
    </w:tblStylePr>
  </w:style>
  <w:style w:type="table" w:styleId="MediumGrid3-Accent4">
    <w:name w:val="Medium Grid 3 Accent 4"/>
    <w:basedOn w:val="TableNormal"/>
    <w:uiPriority w:val="69"/>
    <w:unhideWhenUsed/>
    <w:rsid w:val="00F978CE"/>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FDF"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808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808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808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808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FBF"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FBF" w:themeFill="accent4" w:themeFillTint="7F"/>
      </w:tcPr>
    </w:tblStylePr>
  </w:style>
  <w:style w:type="table" w:styleId="MediumGrid3-Accent5">
    <w:name w:val="Medium Grid 3 Accent 5"/>
    <w:basedOn w:val="TableNormal"/>
    <w:uiPriority w:val="69"/>
    <w:unhideWhenUsed/>
    <w:rsid w:val="00F978CE"/>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5E5E5"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6969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6969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6969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6969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ACACA"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ACACA" w:themeFill="accent5" w:themeFillTint="7F"/>
      </w:tcPr>
    </w:tblStylePr>
  </w:style>
  <w:style w:type="table" w:styleId="MediumGrid3-Accent6">
    <w:name w:val="Medium Grid 3 Accent 6"/>
    <w:basedOn w:val="TableNormal"/>
    <w:uiPriority w:val="69"/>
    <w:unhideWhenUsed/>
    <w:rsid w:val="00F978CE"/>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0F0F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3C3C3"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3C3C3"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3C3C3"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3C3C3"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E1E1E1"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E1E1E1" w:themeFill="accent6" w:themeFillTint="7F"/>
      </w:tcPr>
    </w:tblStylePr>
  </w:style>
  <w:style w:type="table" w:styleId="MediumList1">
    <w:name w:val="Medium List 1"/>
    <w:basedOn w:val="TableNormal"/>
    <w:uiPriority w:val="65"/>
    <w:unhideWhenUsed/>
    <w:rsid w:val="00F978CE"/>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AF005F"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unhideWhenUsed/>
    <w:rsid w:val="00F978CE"/>
    <w:pPr>
      <w:spacing w:after="0" w:line="240" w:lineRule="auto"/>
    </w:pPr>
    <w:rPr>
      <w:color w:val="000000" w:themeColor="text1"/>
    </w:rPr>
    <w:tblPr>
      <w:tblStyleRowBandSize w:val="1"/>
      <w:tblStyleColBandSize w:val="1"/>
      <w:tblBorders>
        <w:top w:val="single" w:sz="8" w:space="0" w:color="AF005F" w:themeColor="accent1"/>
        <w:bottom w:val="single" w:sz="8" w:space="0" w:color="AF005F" w:themeColor="accent1"/>
      </w:tblBorders>
    </w:tblPr>
    <w:tblStylePr w:type="firstRow">
      <w:rPr>
        <w:rFonts w:asciiTheme="majorHAnsi" w:eastAsiaTheme="majorEastAsia" w:hAnsiTheme="majorHAnsi" w:cstheme="majorBidi"/>
      </w:rPr>
      <w:tblPr/>
      <w:tcPr>
        <w:tcBorders>
          <w:top w:val="nil"/>
          <w:bottom w:val="single" w:sz="8" w:space="0" w:color="AF005F" w:themeColor="accent1"/>
        </w:tcBorders>
      </w:tcPr>
    </w:tblStylePr>
    <w:tblStylePr w:type="lastRow">
      <w:rPr>
        <w:b/>
        <w:bCs/>
        <w:color w:val="AF005F" w:themeColor="text2"/>
      </w:rPr>
      <w:tblPr/>
      <w:tcPr>
        <w:tcBorders>
          <w:top w:val="single" w:sz="8" w:space="0" w:color="AF005F" w:themeColor="accent1"/>
          <w:bottom w:val="single" w:sz="8" w:space="0" w:color="AF005F" w:themeColor="accent1"/>
        </w:tcBorders>
      </w:tcPr>
    </w:tblStylePr>
    <w:tblStylePr w:type="firstCol">
      <w:rPr>
        <w:b/>
        <w:bCs/>
      </w:rPr>
    </w:tblStylePr>
    <w:tblStylePr w:type="lastCol">
      <w:rPr>
        <w:b/>
        <w:bCs/>
      </w:rPr>
      <w:tblPr/>
      <w:tcPr>
        <w:tcBorders>
          <w:top w:val="single" w:sz="8" w:space="0" w:color="AF005F" w:themeColor="accent1"/>
          <w:bottom w:val="single" w:sz="8" w:space="0" w:color="AF005F" w:themeColor="accent1"/>
        </w:tcBorders>
      </w:tcPr>
    </w:tblStylePr>
    <w:tblStylePr w:type="band1Vert">
      <w:tblPr/>
      <w:tcPr>
        <w:shd w:val="clear" w:color="auto" w:fill="FFACD8" w:themeFill="accent1" w:themeFillTint="3F"/>
      </w:tcPr>
    </w:tblStylePr>
    <w:tblStylePr w:type="band1Horz">
      <w:tblPr/>
      <w:tcPr>
        <w:shd w:val="clear" w:color="auto" w:fill="FFACD8" w:themeFill="accent1" w:themeFillTint="3F"/>
      </w:tcPr>
    </w:tblStylePr>
  </w:style>
  <w:style w:type="table" w:styleId="MediumList1-Accent2">
    <w:name w:val="Medium List 1 Accent 2"/>
    <w:basedOn w:val="TableNormal"/>
    <w:uiPriority w:val="65"/>
    <w:unhideWhenUsed/>
    <w:rsid w:val="00F978CE"/>
    <w:pPr>
      <w:spacing w:after="0" w:line="240" w:lineRule="auto"/>
    </w:pPr>
    <w:rPr>
      <w:color w:val="000000" w:themeColor="text1"/>
    </w:rPr>
    <w:tblPr>
      <w:tblStyleRowBandSize w:val="1"/>
      <w:tblStyleColBandSize w:val="1"/>
      <w:tblBorders>
        <w:top w:val="single" w:sz="8" w:space="0" w:color="BF337F" w:themeColor="accent2"/>
        <w:bottom w:val="single" w:sz="8" w:space="0" w:color="BF337F" w:themeColor="accent2"/>
      </w:tblBorders>
    </w:tblPr>
    <w:tblStylePr w:type="firstRow">
      <w:rPr>
        <w:rFonts w:asciiTheme="majorHAnsi" w:eastAsiaTheme="majorEastAsia" w:hAnsiTheme="majorHAnsi" w:cstheme="majorBidi"/>
      </w:rPr>
      <w:tblPr/>
      <w:tcPr>
        <w:tcBorders>
          <w:top w:val="nil"/>
          <w:bottom w:val="single" w:sz="8" w:space="0" w:color="BF337F" w:themeColor="accent2"/>
        </w:tcBorders>
      </w:tcPr>
    </w:tblStylePr>
    <w:tblStylePr w:type="lastRow">
      <w:rPr>
        <w:b/>
        <w:bCs/>
        <w:color w:val="AF005F" w:themeColor="text2"/>
      </w:rPr>
      <w:tblPr/>
      <w:tcPr>
        <w:tcBorders>
          <w:top w:val="single" w:sz="8" w:space="0" w:color="BF337F" w:themeColor="accent2"/>
          <w:bottom w:val="single" w:sz="8" w:space="0" w:color="BF337F" w:themeColor="accent2"/>
        </w:tcBorders>
      </w:tcPr>
    </w:tblStylePr>
    <w:tblStylePr w:type="firstCol">
      <w:rPr>
        <w:b/>
        <w:bCs/>
      </w:rPr>
    </w:tblStylePr>
    <w:tblStylePr w:type="lastCol">
      <w:rPr>
        <w:b/>
        <w:bCs/>
      </w:rPr>
      <w:tblPr/>
      <w:tcPr>
        <w:tcBorders>
          <w:top w:val="single" w:sz="8" w:space="0" w:color="BF337F" w:themeColor="accent2"/>
          <w:bottom w:val="single" w:sz="8" w:space="0" w:color="BF337F" w:themeColor="accent2"/>
        </w:tcBorders>
      </w:tcPr>
    </w:tblStylePr>
    <w:tblStylePr w:type="band1Vert">
      <w:tblPr/>
      <w:tcPr>
        <w:shd w:val="clear" w:color="auto" w:fill="F1CADF" w:themeFill="accent2" w:themeFillTint="3F"/>
      </w:tcPr>
    </w:tblStylePr>
    <w:tblStylePr w:type="band1Horz">
      <w:tblPr/>
      <w:tcPr>
        <w:shd w:val="clear" w:color="auto" w:fill="F1CADF" w:themeFill="accent2" w:themeFillTint="3F"/>
      </w:tcPr>
    </w:tblStylePr>
  </w:style>
  <w:style w:type="table" w:styleId="MediumList1-Accent3">
    <w:name w:val="Medium List 1 Accent 3"/>
    <w:basedOn w:val="TableNormal"/>
    <w:uiPriority w:val="65"/>
    <w:unhideWhenUsed/>
    <w:rsid w:val="00F978CE"/>
    <w:pPr>
      <w:spacing w:after="0" w:line="240" w:lineRule="auto"/>
    </w:pPr>
    <w:rPr>
      <w:color w:val="000000" w:themeColor="text1"/>
    </w:rPr>
    <w:tblPr>
      <w:tblStyleRowBandSize w:val="1"/>
      <w:tblStyleColBandSize w:val="1"/>
      <w:tblBorders>
        <w:top w:val="single" w:sz="8" w:space="0" w:color="CC5C99" w:themeColor="accent3"/>
        <w:bottom w:val="single" w:sz="8" w:space="0" w:color="CC5C99" w:themeColor="accent3"/>
      </w:tblBorders>
    </w:tblPr>
    <w:tblStylePr w:type="firstRow">
      <w:rPr>
        <w:rFonts w:asciiTheme="majorHAnsi" w:eastAsiaTheme="majorEastAsia" w:hAnsiTheme="majorHAnsi" w:cstheme="majorBidi"/>
      </w:rPr>
      <w:tblPr/>
      <w:tcPr>
        <w:tcBorders>
          <w:top w:val="nil"/>
          <w:bottom w:val="single" w:sz="8" w:space="0" w:color="CC5C99" w:themeColor="accent3"/>
        </w:tcBorders>
      </w:tcPr>
    </w:tblStylePr>
    <w:tblStylePr w:type="lastRow">
      <w:rPr>
        <w:b/>
        <w:bCs/>
        <w:color w:val="AF005F" w:themeColor="text2"/>
      </w:rPr>
      <w:tblPr/>
      <w:tcPr>
        <w:tcBorders>
          <w:top w:val="single" w:sz="8" w:space="0" w:color="CC5C99" w:themeColor="accent3"/>
          <w:bottom w:val="single" w:sz="8" w:space="0" w:color="CC5C99" w:themeColor="accent3"/>
        </w:tcBorders>
      </w:tcPr>
    </w:tblStylePr>
    <w:tblStylePr w:type="firstCol">
      <w:rPr>
        <w:b/>
        <w:bCs/>
      </w:rPr>
    </w:tblStylePr>
    <w:tblStylePr w:type="lastCol">
      <w:rPr>
        <w:b/>
        <w:bCs/>
      </w:rPr>
      <w:tblPr/>
      <w:tcPr>
        <w:tcBorders>
          <w:top w:val="single" w:sz="8" w:space="0" w:color="CC5C99" w:themeColor="accent3"/>
          <w:bottom w:val="single" w:sz="8" w:space="0" w:color="CC5C99" w:themeColor="accent3"/>
        </w:tcBorders>
      </w:tcPr>
    </w:tblStylePr>
    <w:tblStylePr w:type="band1Vert">
      <w:tblPr/>
      <w:tcPr>
        <w:shd w:val="clear" w:color="auto" w:fill="F2D6E5" w:themeFill="accent3" w:themeFillTint="3F"/>
      </w:tcPr>
    </w:tblStylePr>
    <w:tblStylePr w:type="band1Horz">
      <w:tblPr/>
      <w:tcPr>
        <w:shd w:val="clear" w:color="auto" w:fill="F2D6E5" w:themeFill="accent3" w:themeFillTint="3F"/>
      </w:tcPr>
    </w:tblStylePr>
  </w:style>
  <w:style w:type="table" w:styleId="MediumList1-Accent4">
    <w:name w:val="Medium List 1 Accent 4"/>
    <w:basedOn w:val="TableNormal"/>
    <w:uiPriority w:val="65"/>
    <w:unhideWhenUsed/>
    <w:rsid w:val="00F978CE"/>
    <w:pPr>
      <w:spacing w:after="0" w:line="240" w:lineRule="auto"/>
    </w:pPr>
    <w:rPr>
      <w:color w:val="000000" w:themeColor="text1"/>
    </w:rPr>
    <w:tblPr>
      <w:tblStyleRowBandSize w:val="1"/>
      <w:tblStyleColBandSize w:val="1"/>
      <w:tblBorders>
        <w:top w:val="single" w:sz="8" w:space="0" w:color="808080" w:themeColor="accent4"/>
        <w:bottom w:val="single" w:sz="8" w:space="0" w:color="808080" w:themeColor="accent4"/>
      </w:tblBorders>
    </w:tblPr>
    <w:tblStylePr w:type="firstRow">
      <w:rPr>
        <w:rFonts w:asciiTheme="majorHAnsi" w:eastAsiaTheme="majorEastAsia" w:hAnsiTheme="majorHAnsi" w:cstheme="majorBidi"/>
      </w:rPr>
      <w:tblPr/>
      <w:tcPr>
        <w:tcBorders>
          <w:top w:val="nil"/>
          <w:bottom w:val="single" w:sz="8" w:space="0" w:color="808080" w:themeColor="accent4"/>
        </w:tcBorders>
      </w:tcPr>
    </w:tblStylePr>
    <w:tblStylePr w:type="lastRow">
      <w:rPr>
        <w:b/>
        <w:bCs/>
        <w:color w:val="AF005F" w:themeColor="text2"/>
      </w:rPr>
      <w:tblPr/>
      <w:tcPr>
        <w:tcBorders>
          <w:top w:val="single" w:sz="8" w:space="0" w:color="808080" w:themeColor="accent4"/>
          <w:bottom w:val="single" w:sz="8" w:space="0" w:color="808080" w:themeColor="accent4"/>
        </w:tcBorders>
      </w:tcPr>
    </w:tblStylePr>
    <w:tblStylePr w:type="firstCol">
      <w:rPr>
        <w:b/>
        <w:bCs/>
      </w:rPr>
    </w:tblStylePr>
    <w:tblStylePr w:type="lastCol">
      <w:rPr>
        <w:b/>
        <w:bCs/>
      </w:rPr>
      <w:tblPr/>
      <w:tcPr>
        <w:tcBorders>
          <w:top w:val="single" w:sz="8" w:space="0" w:color="808080" w:themeColor="accent4"/>
          <w:bottom w:val="single" w:sz="8" w:space="0" w:color="808080" w:themeColor="accent4"/>
        </w:tcBorders>
      </w:tcPr>
    </w:tblStylePr>
    <w:tblStylePr w:type="band1Vert">
      <w:tblPr/>
      <w:tcPr>
        <w:shd w:val="clear" w:color="auto" w:fill="DFDFDF" w:themeFill="accent4" w:themeFillTint="3F"/>
      </w:tcPr>
    </w:tblStylePr>
    <w:tblStylePr w:type="band1Horz">
      <w:tblPr/>
      <w:tcPr>
        <w:shd w:val="clear" w:color="auto" w:fill="DFDFDF" w:themeFill="accent4" w:themeFillTint="3F"/>
      </w:tcPr>
    </w:tblStylePr>
  </w:style>
  <w:style w:type="table" w:styleId="MediumList1-Accent5">
    <w:name w:val="Medium List 1 Accent 5"/>
    <w:basedOn w:val="TableNormal"/>
    <w:uiPriority w:val="65"/>
    <w:unhideWhenUsed/>
    <w:rsid w:val="00F978CE"/>
    <w:pPr>
      <w:spacing w:after="0" w:line="240" w:lineRule="auto"/>
    </w:pPr>
    <w:rPr>
      <w:color w:val="000000" w:themeColor="text1"/>
    </w:rPr>
    <w:tblPr>
      <w:tblStyleRowBandSize w:val="1"/>
      <w:tblStyleColBandSize w:val="1"/>
      <w:tblBorders>
        <w:top w:val="single" w:sz="8" w:space="0" w:color="969696" w:themeColor="accent5"/>
        <w:bottom w:val="single" w:sz="8" w:space="0" w:color="969696" w:themeColor="accent5"/>
      </w:tblBorders>
    </w:tblPr>
    <w:tblStylePr w:type="firstRow">
      <w:rPr>
        <w:rFonts w:asciiTheme="majorHAnsi" w:eastAsiaTheme="majorEastAsia" w:hAnsiTheme="majorHAnsi" w:cstheme="majorBidi"/>
      </w:rPr>
      <w:tblPr/>
      <w:tcPr>
        <w:tcBorders>
          <w:top w:val="nil"/>
          <w:bottom w:val="single" w:sz="8" w:space="0" w:color="969696" w:themeColor="accent5"/>
        </w:tcBorders>
      </w:tcPr>
    </w:tblStylePr>
    <w:tblStylePr w:type="lastRow">
      <w:rPr>
        <w:b/>
        <w:bCs/>
        <w:color w:val="AF005F" w:themeColor="text2"/>
      </w:rPr>
      <w:tblPr/>
      <w:tcPr>
        <w:tcBorders>
          <w:top w:val="single" w:sz="8" w:space="0" w:color="969696" w:themeColor="accent5"/>
          <w:bottom w:val="single" w:sz="8" w:space="0" w:color="969696" w:themeColor="accent5"/>
        </w:tcBorders>
      </w:tcPr>
    </w:tblStylePr>
    <w:tblStylePr w:type="firstCol">
      <w:rPr>
        <w:b/>
        <w:bCs/>
      </w:rPr>
    </w:tblStylePr>
    <w:tblStylePr w:type="lastCol">
      <w:rPr>
        <w:b/>
        <w:bCs/>
      </w:rPr>
      <w:tblPr/>
      <w:tcPr>
        <w:tcBorders>
          <w:top w:val="single" w:sz="8" w:space="0" w:color="969696" w:themeColor="accent5"/>
          <w:bottom w:val="single" w:sz="8" w:space="0" w:color="969696" w:themeColor="accent5"/>
        </w:tcBorders>
      </w:tcPr>
    </w:tblStylePr>
    <w:tblStylePr w:type="band1Vert">
      <w:tblPr/>
      <w:tcPr>
        <w:shd w:val="clear" w:color="auto" w:fill="E5E5E5" w:themeFill="accent5" w:themeFillTint="3F"/>
      </w:tcPr>
    </w:tblStylePr>
    <w:tblStylePr w:type="band1Horz">
      <w:tblPr/>
      <w:tcPr>
        <w:shd w:val="clear" w:color="auto" w:fill="E5E5E5" w:themeFill="accent5" w:themeFillTint="3F"/>
      </w:tcPr>
    </w:tblStylePr>
  </w:style>
  <w:style w:type="table" w:styleId="MediumList1-Accent6">
    <w:name w:val="Medium List 1 Accent 6"/>
    <w:basedOn w:val="TableNormal"/>
    <w:uiPriority w:val="65"/>
    <w:unhideWhenUsed/>
    <w:rsid w:val="00F978CE"/>
    <w:pPr>
      <w:spacing w:after="0" w:line="240" w:lineRule="auto"/>
    </w:pPr>
    <w:rPr>
      <w:color w:val="000000" w:themeColor="text1"/>
    </w:rPr>
    <w:tblPr>
      <w:tblStyleRowBandSize w:val="1"/>
      <w:tblStyleColBandSize w:val="1"/>
      <w:tblBorders>
        <w:top w:val="single" w:sz="8" w:space="0" w:color="C3C3C3" w:themeColor="accent6"/>
        <w:bottom w:val="single" w:sz="8" w:space="0" w:color="C3C3C3" w:themeColor="accent6"/>
      </w:tblBorders>
    </w:tblPr>
    <w:tblStylePr w:type="firstRow">
      <w:rPr>
        <w:rFonts w:asciiTheme="majorHAnsi" w:eastAsiaTheme="majorEastAsia" w:hAnsiTheme="majorHAnsi" w:cstheme="majorBidi"/>
      </w:rPr>
      <w:tblPr/>
      <w:tcPr>
        <w:tcBorders>
          <w:top w:val="nil"/>
          <w:bottom w:val="single" w:sz="8" w:space="0" w:color="C3C3C3" w:themeColor="accent6"/>
        </w:tcBorders>
      </w:tcPr>
    </w:tblStylePr>
    <w:tblStylePr w:type="lastRow">
      <w:rPr>
        <w:b/>
        <w:bCs/>
        <w:color w:val="AF005F" w:themeColor="text2"/>
      </w:rPr>
      <w:tblPr/>
      <w:tcPr>
        <w:tcBorders>
          <w:top w:val="single" w:sz="8" w:space="0" w:color="C3C3C3" w:themeColor="accent6"/>
          <w:bottom w:val="single" w:sz="8" w:space="0" w:color="C3C3C3" w:themeColor="accent6"/>
        </w:tcBorders>
      </w:tcPr>
    </w:tblStylePr>
    <w:tblStylePr w:type="firstCol">
      <w:rPr>
        <w:b/>
        <w:bCs/>
      </w:rPr>
    </w:tblStylePr>
    <w:tblStylePr w:type="lastCol">
      <w:rPr>
        <w:b/>
        <w:bCs/>
      </w:rPr>
      <w:tblPr/>
      <w:tcPr>
        <w:tcBorders>
          <w:top w:val="single" w:sz="8" w:space="0" w:color="C3C3C3" w:themeColor="accent6"/>
          <w:bottom w:val="single" w:sz="8" w:space="0" w:color="C3C3C3" w:themeColor="accent6"/>
        </w:tcBorders>
      </w:tcPr>
    </w:tblStylePr>
    <w:tblStylePr w:type="band1Vert">
      <w:tblPr/>
      <w:tcPr>
        <w:shd w:val="clear" w:color="auto" w:fill="F0F0F0" w:themeFill="accent6" w:themeFillTint="3F"/>
      </w:tcPr>
    </w:tblStylePr>
    <w:tblStylePr w:type="band1Horz">
      <w:tblPr/>
      <w:tcPr>
        <w:shd w:val="clear" w:color="auto" w:fill="F0F0F0" w:themeFill="accent6" w:themeFillTint="3F"/>
      </w:tcPr>
    </w:tblStylePr>
  </w:style>
  <w:style w:type="table" w:styleId="MediumList2">
    <w:name w:val="Medium List 2"/>
    <w:basedOn w:val="TableNormal"/>
    <w:uiPriority w:val="66"/>
    <w:unhideWhenUsed/>
    <w:rsid w:val="00F978CE"/>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unhideWhenUsed/>
    <w:rsid w:val="00F978CE"/>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AF005F" w:themeColor="accent1"/>
        <w:left w:val="single" w:sz="8" w:space="0" w:color="AF005F" w:themeColor="accent1"/>
        <w:bottom w:val="single" w:sz="8" w:space="0" w:color="AF005F" w:themeColor="accent1"/>
        <w:right w:val="single" w:sz="8" w:space="0" w:color="AF005F" w:themeColor="accent1"/>
      </w:tblBorders>
    </w:tblPr>
    <w:tblStylePr w:type="firstRow">
      <w:rPr>
        <w:sz w:val="24"/>
        <w:szCs w:val="24"/>
      </w:rPr>
      <w:tblPr/>
      <w:tcPr>
        <w:tcBorders>
          <w:top w:val="nil"/>
          <w:left w:val="nil"/>
          <w:bottom w:val="single" w:sz="24" w:space="0" w:color="AF005F" w:themeColor="accent1"/>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F005F" w:themeColor="accent1"/>
          <w:insideH w:val="nil"/>
          <w:insideV w:val="nil"/>
        </w:tcBorders>
        <w:shd w:val="clear" w:color="auto" w:fill="FFFFFF" w:themeFill="background1"/>
      </w:tcPr>
    </w:tblStylePr>
    <w:tblStylePr w:type="lastCol">
      <w:tblPr/>
      <w:tcPr>
        <w:tcBorders>
          <w:top w:val="nil"/>
          <w:left w:val="single" w:sz="8" w:space="0" w:color="AF005F"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ACD8" w:themeFill="accent1" w:themeFillTint="3F"/>
      </w:tcPr>
    </w:tblStylePr>
    <w:tblStylePr w:type="band1Horz">
      <w:tblPr/>
      <w:tcPr>
        <w:tcBorders>
          <w:top w:val="nil"/>
          <w:bottom w:val="nil"/>
          <w:insideH w:val="nil"/>
          <w:insideV w:val="nil"/>
        </w:tcBorders>
        <w:shd w:val="clear" w:color="auto" w:fill="FFACD8"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unhideWhenUsed/>
    <w:rsid w:val="00F978CE"/>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BF337F" w:themeColor="accent2"/>
        <w:left w:val="single" w:sz="8" w:space="0" w:color="BF337F" w:themeColor="accent2"/>
        <w:bottom w:val="single" w:sz="8" w:space="0" w:color="BF337F" w:themeColor="accent2"/>
        <w:right w:val="single" w:sz="8" w:space="0" w:color="BF337F" w:themeColor="accent2"/>
      </w:tblBorders>
    </w:tblPr>
    <w:tblStylePr w:type="firstRow">
      <w:rPr>
        <w:sz w:val="24"/>
        <w:szCs w:val="24"/>
      </w:rPr>
      <w:tblPr/>
      <w:tcPr>
        <w:tcBorders>
          <w:top w:val="nil"/>
          <w:left w:val="nil"/>
          <w:bottom w:val="single" w:sz="24" w:space="0" w:color="BF337F" w:themeColor="accent2"/>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BF337F" w:themeColor="accent2"/>
          <w:insideH w:val="nil"/>
          <w:insideV w:val="nil"/>
        </w:tcBorders>
        <w:shd w:val="clear" w:color="auto" w:fill="FFFFFF" w:themeFill="background1"/>
      </w:tcPr>
    </w:tblStylePr>
    <w:tblStylePr w:type="lastCol">
      <w:tblPr/>
      <w:tcPr>
        <w:tcBorders>
          <w:top w:val="nil"/>
          <w:left w:val="single" w:sz="8" w:space="0" w:color="BF337F"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1CADF" w:themeFill="accent2" w:themeFillTint="3F"/>
      </w:tcPr>
    </w:tblStylePr>
    <w:tblStylePr w:type="band1Horz">
      <w:tblPr/>
      <w:tcPr>
        <w:tcBorders>
          <w:top w:val="nil"/>
          <w:bottom w:val="nil"/>
          <w:insideH w:val="nil"/>
          <w:insideV w:val="nil"/>
        </w:tcBorders>
        <w:shd w:val="clear" w:color="auto" w:fill="F1CADF"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unhideWhenUsed/>
    <w:rsid w:val="00F978CE"/>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C5C99" w:themeColor="accent3"/>
        <w:left w:val="single" w:sz="8" w:space="0" w:color="CC5C99" w:themeColor="accent3"/>
        <w:bottom w:val="single" w:sz="8" w:space="0" w:color="CC5C99" w:themeColor="accent3"/>
        <w:right w:val="single" w:sz="8" w:space="0" w:color="CC5C99" w:themeColor="accent3"/>
      </w:tblBorders>
    </w:tblPr>
    <w:tblStylePr w:type="firstRow">
      <w:rPr>
        <w:sz w:val="24"/>
        <w:szCs w:val="24"/>
      </w:rPr>
      <w:tblPr/>
      <w:tcPr>
        <w:tcBorders>
          <w:top w:val="nil"/>
          <w:left w:val="nil"/>
          <w:bottom w:val="single" w:sz="24" w:space="0" w:color="CC5C99" w:themeColor="accent3"/>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C5C99" w:themeColor="accent3"/>
          <w:insideH w:val="nil"/>
          <w:insideV w:val="nil"/>
        </w:tcBorders>
        <w:shd w:val="clear" w:color="auto" w:fill="FFFFFF" w:themeFill="background1"/>
      </w:tcPr>
    </w:tblStylePr>
    <w:tblStylePr w:type="lastCol">
      <w:tblPr/>
      <w:tcPr>
        <w:tcBorders>
          <w:top w:val="nil"/>
          <w:left w:val="single" w:sz="8" w:space="0" w:color="CC5C9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2D6E5" w:themeFill="accent3" w:themeFillTint="3F"/>
      </w:tcPr>
    </w:tblStylePr>
    <w:tblStylePr w:type="band1Horz">
      <w:tblPr/>
      <w:tcPr>
        <w:tcBorders>
          <w:top w:val="nil"/>
          <w:bottom w:val="nil"/>
          <w:insideH w:val="nil"/>
          <w:insideV w:val="nil"/>
        </w:tcBorders>
        <w:shd w:val="clear" w:color="auto" w:fill="F2D6E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unhideWhenUsed/>
    <w:rsid w:val="00F978CE"/>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8080" w:themeColor="accent4"/>
        <w:left w:val="single" w:sz="8" w:space="0" w:color="808080" w:themeColor="accent4"/>
        <w:bottom w:val="single" w:sz="8" w:space="0" w:color="808080" w:themeColor="accent4"/>
        <w:right w:val="single" w:sz="8" w:space="0" w:color="808080" w:themeColor="accent4"/>
      </w:tblBorders>
    </w:tblPr>
    <w:tblStylePr w:type="firstRow">
      <w:rPr>
        <w:sz w:val="24"/>
        <w:szCs w:val="24"/>
      </w:rPr>
      <w:tblPr/>
      <w:tcPr>
        <w:tcBorders>
          <w:top w:val="nil"/>
          <w:left w:val="nil"/>
          <w:bottom w:val="single" w:sz="24" w:space="0" w:color="808080" w:themeColor="accent4"/>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8080" w:themeColor="accent4"/>
          <w:insideH w:val="nil"/>
          <w:insideV w:val="nil"/>
        </w:tcBorders>
        <w:shd w:val="clear" w:color="auto" w:fill="FFFFFF" w:themeFill="background1"/>
      </w:tcPr>
    </w:tblStylePr>
    <w:tblStylePr w:type="lastCol">
      <w:tblPr/>
      <w:tcPr>
        <w:tcBorders>
          <w:top w:val="nil"/>
          <w:left w:val="single" w:sz="8" w:space="0" w:color="80808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FDF" w:themeFill="accent4" w:themeFillTint="3F"/>
      </w:tcPr>
    </w:tblStylePr>
    <w:tblStylePr w:type="band1Horz">
      <w:tblPr/>
      <w:tcPr>
        <w:tcBorders>
          <w:top w:val="nil"/>
          <w:bottom w:val="nil"/>
          <w:insideH w:val="nil"/>
          <w:insideV w:val="nil"/>
        </w:tcBorders>
        <w:shd w:val="clear" w:color="auto" w:fill="DFDFDF"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unhideWhenUsed/>
    <w:rsid w:val="00F978CE"/>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69696" w:themeColor="accent5"/>
        <w:left w:val="single" w:sz="8" w:space="0" w:color="969696" w:themeColor="accent5"/>
        <w:bottom w:val="single" w:sz="8" w:space="0" w:color="969696" w:themeColor="accent5"/>
        <w:right w:val="single" w:sz="8" w:space="0" w:color="969696" w:themeColor="accent5"/>
      </w:tblBorders>
    </w:tblPr>
    <w:tblStylePr w:type="firstRow">
      <w:rPr>
        <w:sz w:val="24"/>
        <w:szCs w:val="24"/>
      </w:rPr>
      <w:tblPr/>
      <w:tcPr>
        <w:tcBorders>
          <w:top w:val="nil"/>
          <w:left w:val="nil"/>
          <w:bottom w:val="single" w:sz="24" w:space="0" w:color="969696" w:themeColor="accent5"/>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69696" w:themeColor="accent5"/>
          <w:insideH w:val="nil"/>
          <w:insideV w:val="nil"/>
        </w:tcBorders>
        <w:shd w:val="clear" w:color="auto" w:fill="FFFFFF" w:themeFill="background1"/>
      </w:tcPr>
    </w:tblStylePr>
    <w:tblStylePr w:type="lastCol">
      <w:tblPr/>
      <w:tcPr>
        <w:tcBorders>
          <w:top w:val="nil"/>
          <w:left w:val="single" w:sz="8" w:space="0" w:color="96969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5E5E5" w:themeFill="accent5" w:themeFillTint="3F"/>
      </w:tcPr>
    </w:tblStylePr>
    <w:tblStylePr w:type="band1Horz">
      <w:tblPr/>
      <w:tcPr>
        <w:tcBorders>
          <w:top w:val="nil"/>
          <w:bottom w:val="nil"/>
          <w:insideH w:val="nil"/>
          <w:insideV w:val="nil"/>
        </w:tcBorders>
        <w:shd w:val="clear" w:color="auto" w:fill="E5E5E5"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unhideWhenUsed/>
    <w:rsid w:val="00F978CE"/>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3C3C3" w:themeColor="accent6"/>
        <w:left w:val="single" w:sz="8" w:space="0" w:color="C3C3C3" w:themeColor="accent6"/>
        <w:bottom w:val="single" w:sz="8" w:space="0" w:color="C3C3C3" w:themeColor="accent6"/>
        <w:right w:val="single" w:sz="8" w:space="0" w:color="C3C3C3" w:themeColor="accent6"/>
      </w:tblBorders>
    </w:tblPr>
    <w:tblStylePr w:type="firstRow">
      <w:rPr>
        <w:sz w:val="24"/>
        <w:szCs w:val="24"/>
      </w:rPr>
      <w:tblPr/>
      <w:tcPr>
        <w:tcBorders>
          <w:top w:val="nil"/>
          <w:left w:val="nil"/>
          <w:bottom w:val="single" w:sz="24" w:space="0" w:color="C3C3C3" w:themeColor="accent6"/>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3C3C3" w:themeColor="accent6"/>
          <w:insideH w:val="nil"/>
          <w:insideV w:val="nil"/>
        </w:tcBorders>
        <w:shd w:val="clear" w:color="auto" w:fill="FFFFFF" w:themeFill="background1"/>
      </w:tcPr>
    </w:tblStylePr>
    <w:tblStylePr w:type="lastCol">
      <w:tblPr/>
      <w:tcPr>
        <w:tcBorders>
          <w:top w:val="nil"/>
          <w:left w:val="single" w:sz="8" w:space="0" w:color="C3C3C3"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0F0F0" w:themeFill="accent6" w:themeFillTint="3F"/>
      </w:tcPr>
    </w:tblStylePr>
    <w:tblStylePr w:type="band1Horz">
      <w:tblPr/>
      <w:tcPr>
        <w:tcBorders>
          <w:top w:val="nil"/>
          <w:bottom w:val="nil"/>
          <w:insideH w:val="nil"/>
          <w:insideV w:val="nil"/>
        </w:tcBorders>
        <w:shd w:val="clear" w:color="auto" w:fill="F0F0F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Shading1">
    <w:name w:val="Medium Shading 1"/>
    <w:basedOn w:val="TableNormal"/>
    <w:uiPriority w:val="63"/>
    <w:unhideWhenUsed/>
    <w:rsid w:val="00F978CE"/>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unhideWhenUsed/>
    <w:rsid w:val="00F978CE"/>
    <w:pPr>
      <w:spacing w:after="0" w:line="240" w:lineRule="auto"/>
    </w:pPr>
    <w:tblPr>
      <w:tblStyleRowBandSize w:val="1"/>
      <w:tblStyleColBandSize w:val="1"/>
      <w:tblBorders>
        <w:top w:val="single" w:sz="8" w:space="0" w:color="FF048B" w:themeColor="accent1" w:themeTint="BF"/>
        <w:left w:val="single" w:sz="8" w:space="0" w:color="FF048B" w:themeColor="accent1" w:themeTint="BF"/>
        <w:bottom w:val="single" w:sz="8" w:space="0" w:color="FF048B" w:themeColor="accent1" w:themeTint="BF"/>
        <w:right w:val="single" w:sz="8" w:space="0" w:color="FF048B" w:themeColor="accent1" w:themeTint="BF"/>
        <w:insideH w:val="single" w:sz="8" w:space="0" w:color="FF048B" w:themeColor="accent1" w:themeTint="BF"/>
      </w:tblBorders>
    </w:tblPr>
    <w:tblStylePr w:type="firstRow">
      <w:pPr>
        <w:spacing w:before="0" w:after="0" w:line="240" w:lineRule="auto"/>
      </w:pPr>
      <w:rPr>
        <w:b/>
        <w:bCs/>
        <w:color w:val="FFFFFF" w:themeColor="background1"/>
      </w:rPr>
      <w:tblPr/>
      <w:tcPr>
        <w:tcBorders>
          <w:top w:val="single" w:sz="8" w:space="0" w:color="FF048B" w:themeColor="accent1" w:themeTint="BF"/>
          <w:left w:val="single" w:sz="8" w:space="0" w:color="FF048B" w:themeColor="accent1" w:themeTint="BF"/>
          <w:bottom w:val="single" w:sz="8" w:space="0" w:color="FF048B" w:themeColor="accent1" w:themeTint="BF"/>
          <w:right w:val="single" w:sz="8" w:space="0" w:color="FF048B" w:themeColor="accent1" w:themeTint="BF"/>
          <w:insideH w:val="nil"/>
          <w:insideV w:val="nil"/>
        </w:tcBorders>
        <w:shd w:val="clear" w:color="auto" w:fill="AF005F" w:themeFill="accent1"/>
      </w:tcPr>
    </w:tblStylePr>
    <w:tblStylePr w:type="lastRow">
      <w:pPr>
        <w:spacing w:before="0" w:after="0" w:line="240" w:lineRule="auto"/>
      </w:pPr>
      <w:rPr>
        <w:b/>
        <w:bCs/>
      </w:rPr>
      <w:tblPr/>
      <w:tcPr>
        <w:tcBorders>
          <w:top w:val="double" w:sz="6" w:space="0" w:color="FF048B" w:themeColor="accent1" w:themeTint="BF"/>
          <w:left w:val="single" w:sz="8" w:space="0" w:color="FF048B" w:themeColor="accent1" w:themeTint="BF"/>
          <w:bottom w:val="single" w:sz="8" w:space="0" w:color="FF048B" w:themeColor="accent1" w:themeTint="BF"/>
          <w:right w:val="single" w:sz="8" w:space="0" w:color="FF048B" w:themeColor="accent1" w:themeTint="BF"/>
          <w:insideH w:val="nil"/>
          <w:insideV w:val="nil"/>
        </w:tcBorders>
      </w:tcPr>
    </w:tblStylePr>
    <w:tblStylePr w:type="firstCol">
      <w:rPr>
        <w:b/>
        <w:bCs/>
      </w:rPr>
    </w:tblStylePr>
    <w:tblStylePr w:type="lastCol">
      <w:rPr>
        <w:b/>
        <w:bCs/>
      </w:rPr>
    </w:tblStylePr>
    <w:tblStylePr w:type="band1Vert">
      <w:tblPr/>
      <w:tcPr>
        <w:shd w:val="clear" w:color="auto" w:fill="FFACD8" w:themeFill="accent1" w:themeFillTint="3F"/>
      </w:tcPr>
    </w:tblStylePr>
    <w:tblStylePr w:type="band1Horz">
      <w:tblPr/>
      <w:tcPr>
        <w:tcBorders>
          <w:insideH w:val="nil"/>
          <w:insideV w:val="nil"/>
        </w:tcBorders>
        <w:shd w:val="clear" w:color="auto" w:fill="FFACD8"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unhideWhenUsed/>
    <w:rsid w:val="00F978CE"/>
    <w:pPr>
      <w:spacing w:after="0" w:line="240" w:lineRule="auto"/>
    </w:pPr>
    <w:tblPr>
      <w:tblStyleRowBandSize w:val="1"/>
      <w:tblStyleColBandSize w:val="1"/>
      <w:tblBorders>
        <w:top w:val="single" w:sz="8" w:space="0" w:color="D4609F" w:themeColor="accent2" w:themeTint="BF"/>
        <w:left w:val="single" w:sz="8" w:space="0" w:color="D4609F" w:themeColor="accent2" w:themeTint="BF"/>
        <w:bottom w:val="single" w:sz="8" w:space="0" w:color="D4609F" w:themeColor="accent2" w:themeTint="BF"/>
        <w:right w:val="single" w:sz="8" w:space="0" w:color="D4609F" w:themeColor="accent2" w:themeTint="BF"/>
        <w:insideH w:val="single" w:sz="8" w:space="0" w:color="D4609F" w:themeColor="accent2" w:themeTint="BF"/>
      </w:tblBorders>
    </w:tblPr>
    <w:tblStylePr w:type="firstRow">
      <w:pPr>
        <w:spacing w:before="0" w:after="0" w:line="240" w:lineRule="auto"/>
      </w:pPr>
      <w:rPr>
        <w:b/>
        <w:bCs/>
        <w:color w:val="FFFFFF" w:themeColor="background1"/>
      </w:rPr>
      <w:tblPr/>
      <w:tcPr>
        <w:tcBorders>
          <w:top w:val="single" w:sz="8" w:space="0" w:color="D4609F" w:themeColor="accent2" w:themeTint="BF"/>
          <w:left w:val="single" w:sz="8" w:space="0" w:color="D4609F" w:themeColor="accent2" w:themeTint="BF"/>
          <w:bottom w:val="single" w:sz="8" w:space="0" w:color="D4609F" w:themeColor="accent2" w:themeTint="BF"/>
          <w:right w:val="single" w:sz="8" w:space="0" w:color="D4609F" w:themeColor="accent2" w:themeTint="BF"/>
          <w:insideH w:val="nil"/>
          <w:insideV w:val="nil"/>
        </w:tcBorders>
        <w:shd w:val="clear" w:color="auto" w:fill="BF337F" w:themeFill="accent2"/>
      </w:tcPr>
    </w:tblStylePr>
    <w:tblStylePr w:type="lastRow">
      <w:pPr>
        <w:spacing w:before="0" w:after="0" w:line="240" w:lineRule="auto"/>
      </w:pPr>
      <w:rPr>
        <w:b/>
        <w:bCs/>
      </w:rPr>
      <w:tblPr/>
      <w:tcPr>
        <w:tcBorders>
          <w:top w:val="double" w:sz="6" w:space="0" w:color="D4609F" w:themeColor="accent2" w:themeTint="BF"/>
          <w:left w:val="single" w:sz="8" w:space="0" w:color="D4609F" w:themeColor="accent2" w:themeTint="BF"/>
          <w:bottom w:val="single" w:sz="8" w:space="0" w:color="D4609F" w:themeColor="accent2" w:themeTint="BF"/>
          <w:right w:val="single" w:sz="8" w:space="0" w:color="D4609F" w:themeColor="accent2" w:themeTint="BF"/>
          <w:insideH w:val="nil"/>
          <w:insideV w:val="nil"/>
        </w:tcBorders>
      </w:tcPr>
    </w:tblStylePr>
    <w:tblStylePr w:type="firstCol">
      <w:rPr>
        <w:b/>
        <w:bCs/>
      </w:rPr>
    </w:tblStylePr>
    <w:tblStylePr w:type="lastCol">
      <w:rPr>
        <w:b/>
        <w:bCs/>
      </w:rPr>
    </w:tblStylePr>
    <w:tblStylePr w:type="band1Vert">
      <w:tblPr/>
      <w:tcPr>
        <w:shd w:val="clear" w:color="auto" w:fill="F1CADF" w:themeFill="accent2" w:themeFillTint="3F"/>
      </w:tcPr>
    </w:tblStylePr>
    <w:tblStylePr w:type="band1Horz">
      <w:tblPr/>
      <w:tcPr>
        <w:tcBorders>
          <w:insideH w:val="nil"/>
          <w:insideV w:val="nil"/>
        </w:tcBorders>
        <w:shd w:val="clear" w:color="auto" w:fill="F1CADF"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unhideWhenUsed/>
    <w:rsid w:val="00F978CE"/>
    <w:pPr>
      <w:spacing w:after="0" w:line="240" w:lineRule="auto"/>
    </w:pPr>
    <w:tblPr>
      <w:tblStyleRowBandSize w:val="1"/>
      <w:tblStyleColBandSize w:val="1"/>
      <w:tblBorders>
        <w:top w:val="single" w:sz="8" w:space="0" w:color="D884B2" w:themeColor="accent3" w:themeTint="BF"/>
        <w:left w:val="single" w:sz="8" w:space="0" w:color="D884B2" w:themeColor="accent3" w:themeTint="BF"/>
        <w:bottom w:val="single" w:sz="8" w:space="0" w:color="D884B2" w:themeColor="accent3" w:themeTint="BF"/>
        <w:right w:val="single" w:sz="8" w:space="0" w:color="D884B2" w:themeColor="accent3" w:themeTint="BF"/>
        <w:insideH w:val="single" w:sz="8" w:space="0" w:color="D884B2" w:themeColor="accent3" w:themeTint="BF"/>
      </w:tblBorders>
    </w:tblPr>
    <w:tblStylePr w:type="firstRow">
      <w:pPr>
        <w:spacing w:before="0" w:after="0" w:line="240" w:lineRule="auto"/>
      </w:pPr>
      <w:rPr>
        <w:b/>
        <w:bCs/>
        <w:color w:val="FFFFFF" w:themeColor="background1"/>
      </w:rPr>
      <w:tblPr/>
      <w:tcPr>
        <w:tcBorders>
          <w:top w:val="single" w:sz="8" w:space="0" w:color="D884B2" w:themeColor="accent3" w:themeTint="BF"/>
          <w:left w:val="single" w:sz="8" w:space="0" w:color="D884B2" w:themeColor="accent3" w:themeTint="BF"/>
          <w:bottom w:val="single" w:sz="8" w:space="0" w:color="D884B2" w:themeColor="accent3" w:themeTint="BF"/>
          <w:right w:val="single" w:sz="8" w:space="0" w:color="D884B2" w:themeColor="accent3" w:themeTint="BF"/>
          <w:insideH w:val="nil"/>
          <w:insideV w:val="nil"/>
        </w:tcBorders>
        <w:shd w:val="clear" w:color="auto" w:fill="CC5C99" w:themeFill="accent3"/>
      </w:tcPr>
    </w:tblStylePr>
    <w:tblStylePr w:type="lastRow">
      <w:pPr>
        <w:spacing w:before="0" w:after="0" w:line="240" w:lineRule="auto"/>
      </w:pPr>
      <w:rPr>
        <w:b/>
        <w:bCs/>
      </w:rPr>
      <w:tblPr/>
      <w:tcPr>
        <w:tcBorders>
          <w:top w:val="double" w:sz="6" w:space="0" w:color="D884B2" w:themeColor="accent3" w:themeTint="BF"/>
          <w:left w:val="single" w:sz="8" w:space="0" w:color="D884B2" w:themeColor="accent3" w:themeTint="BF"/>
          <w:bottom w:val="single" w:sz="8" w:space="0" w:color="D884B2" w:themeColor="accent3" w:themeTint="BF"/>
          <w:right w:val="single" w:sz="8" w:space="0" w:color="D884B2" w:themeColor="accent3" w:themeTint="BF"/>
          <w:insideH w:val="nil"/>
          <w:insideV w:val="nil"/>
        </w:tcBorders>
      </w:tcPr>
    </w:tblStylePr>
    <w:tblStylePr w:type="firstCol">
      <w:rPr>
        <w:b/>
        <w:bCs/>
      </w:rPr>
    </w:tblStylePr>
    <w:tblStylePr w:type="lastCol">
      <w:rPr>
        <w:b/>
        <w:bCs/>
      </w:rPr>
    </w:tblStylePr>
    <w:tblStylePr w:type="band1Vert">
      <w:tblPr/>
      <w:tcPr>
        <w:shd w:val="clear" w:color="auto" w:fill="F2D6E5" w:themeFill="accent3" w:themeFillTint="3F"/>
      </w:tcPr>
    </w:tblStylePr>
    <w:tblStylePr w:type="band1Horz">
      <w:tblPr/>
      <w:tcPr>
        <w:tcBorders>
          <w:insideH w:val="nil"/>
          <w:insideV w:val="nil"/>
        </w:tcBorders>
        <w:shd w:val="clear" w:color="auto" w:fill="F2D6E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unhideWhenUsed/>
    <w:rsid w:val="00F978CE"/>
    <w:pPr>
      <w:spacing w:after="0" w:line="240" w:lineRule="auto"/>
    </w:pPr>
    <w:tblPr>
      <w:tblStyleRowBandSize w:val="1"/>
      <w:tblStyleColBandSize w:val="1"/>
      <w:tblBorders>
        <w:top w:val="single" w:sz="8" w:space="0" w:color="9F9F9F" w:themeColor="accent4" w:themeTint="BF"/>
        <w:left w:val="single" w:sz="8" w:space="0" w:color="9F9F9F" w:themeColor="accent4" w:themeTint="BF"/>
        <w:bottom w:val="single" w:sz="8" w:space="0" w:color="9F9F9F" w:themeColor="accent4" w:themeTint="BF"/>
        <w:right w:val="single" w:sz="8" w:space="0" w:color="9F9F9F" w:themeColor="accent4" w:themeTint="BF"/>
        <w:insideH w:val="single" w:sz="8" w:space="0" w:color="9F9F9F" w:themeColor="accent4" w:themeTint="BF"/>
      </w:tblBorders>
    </w:tblPr>
    <w:tblStylePr w:type="firstRow">
      <w:pPr>
        <w:spacing w:before="0" w:after="0" w:line="240" w:lineRule="auto"/>
      </w:pPr>
      <w:rPr>
        <w:b/>
        <w:bCs/>
        <w:color w:val="FFFFFF" w:themeColor="background1"/>
      </w:rPr>
      <w:tblPr/>
      <w:tcPr>
        <w:tcBorders>
          <w:top w:val="single" w:sz="8" w:space="0" w:color="9F9F9F" w:themeColor="accent4" w:themeTint="BF"/>
          <w:left w:val="single" w:sz="8" w:space="0" w:color="9F9F9F" w:themeColor="accent4" w:themeTint="BF"/>
          <w:bottom w:val="single" w:sz="8" w:space="0" w:color="9F9F9F" w:themeColor="accent4" w:themeTint="BF"/>
          <w:right w:val="single" w:sz="8" w:space="0" w:color="9F9F9F" w:themeColor="accent4" w:themeTint="BF"/>
          <w:insideH w:val="nil"/>
          <w:insideV w:val="nil"/>
        </w:tcBorders>
        <w:shd w:val="clear" w:color="auto" w:fill="808080" w:themeFill="accent4"/>
      </w:tcPr>
    </w:tblStylePr>
    <w:tblStylePr w:type="lastRow">
      <w:pPr>
        <w:spacing w:before="0" w:after="0" w:line="240" w:lineRule="auto"/>
      </w:pPr>
      <w:rPr>
        <w:b/>
        <w:bCs/>
      </w:rPr>
      <w:tblPr/>
      <w:tcPr>
        <w:tcBorders>
          <w:top w:val="double" w:sz="6" w:space="0" w:color="9F9F9F" w:themeColor="accent4" w:themeTint="BF"/>
          <w:left w:val="single" w:sz="8" w:space="0" w:color="9F9F9F" w:themeColor="accent4" w:themeTint="BF"/>
          <w:bottom w:val="single" w:sz="8" w:space="0" w:color="9F9F9F" w:themeColor="accent4" w:themeTint="BF"/>
          <w:right w:val="single" w:sz="8" w:space="0" w:color="9F9F9F"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FDF" w:themeFill="accent4" w:themeFillTint="3F"/>
      </w:tcPr>
    </w:tblStylePr>
    <w:tblStylePr w:type="band1Horz">
      <w:tblPr/>
      <w:tcPr>
        <w:tcBorders>
          <w:insideH w:val="nil"/>
          <w:insideV w:val="nil"/>
        </w:tcBorders>
        <w:shd w:val="clear" w:color="auto" w:fill="DFDFDF"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unhideWhenUsed/>
    <w:rsid w:val="00F978CE"/>
    <w:pPr>
      <w:spacing w:after="0" w:line="240" w:lineRule="auto"/>
    </w:pPr>
    <w:tblPr>
      <w:tblStyleRowBandSize w:val="1"/>
      <w:tblStyleColBandSize w:val="1"/>
      <w:tblBorders>
        <w:top w:val="single" w:sz="8" w:space="0" w:color="B0B0B0" w:themeColor="accent5" w:themeTint="BF"/>
        <w:left w:val="single" w:sz="8" w:space="0" w:color="B0B0B0" w:themeColor="accent5" w:themeTint="BF"/>
        <w:bottom w:val="single" w:sz="8" w:space="0" w:color="B0B0B0" w:themeColor="accent5" w:themeTint="BF"/>
        <w:right w:val="single" w:sz="8" w:space="0" w:color="B0B0B0" w:themeColor="accent5" w:themeTint="BF"/>
        <w:insideH w:val="single" w:sz="8" w:space="0" w:color="B0B0B0" w:themeColor="accent5" w:themeTint="BF"/>
      </w:tblBorders>
    </w:tblPr>
    <w:tblStylePr w:type="firstRow">
      <w:pPr>
        <w:spacing w:before="0" w:after="0" w:line="240" w:lineRule="auto"/>
      </w:pPr>
      <w:rPr>
        <w:b/>
        <w:bCs/>
        <w:color w:val="FFFFFF" w:themeColor="background1"/>
      </w:rPr>
      <w:tblPr/>
      <w:tcPr>
        <w:tcBorders>
          <w:top w:val="single" w:sz="8" w:space="0" w:color="B0B0B0" w:themeColor="accent5" w:themeTint="BF"/>
          <w:left w:val="single" w:sz="8" w:space="0" w:color="B0B0B0" w:themeColor="accent5" w:themeTint="BF"/>
          <w:bottom w:val="single" w:sz="8" w:space="0" w:color="B0B0B0" w:themeColor="accent5" w:themeTint="BF"/>
          <w:right w:val="single" w:sz="8" w:space="0" w:color="B0B0B0" w:themeColor="accent5" w:themeTint="BF"/>
          <w:insideH w:val="nil"/>
          <w:insideV w:val="nil"/>
        </w:tcBorders>
        <w:shd w:val="clear" w:color="auto" w:fill="969696" w:themeFill="accent5"/>
      </w:tcPr>
    </w:tblStylePr>
    <w:tblStylePr w:type="lastRow">
      <w:pPr>
        <w:spacing w:before="0" w:after="0" w:line="240" w:lineRule="auto"/>
      </w:pPr>
      <w:rPr>
        <w:b/>
        <w:bCs/>
      </w:rPr>
      <w:tblPr/>
      <w:tcPr>
        <w:tcBorders>
          <w:top w:val="double" w:sz="6" w:space="0" w:color="B0B0B0" w:themeColor="accent5" w:themeTint="BF"/>
          <w:left w:val="single" w:sz="8" w:space="0" w:color="B0B0B0" w:themeColor="accent5" w:themeTint="BF"/>
          <w:bottom w:val="single" w:sz="8" w:space="0" w:color="B0B0B0" w:themeColor="accent5" w:themeTint="BF"/>
          <w:right w:val="single" w:sz="8" w:space="0" w:color="B0B0B0" w:themeColor="accent5" w:themeTint="BF"/>
          <w:insideH w:val="nil"/>
          <w:insideV w:val="nil"/>
        </w:tcBorders>
      </w:tcPr>
    </w:tblStylePr>
    <w:tblStylePr w:type="firstCol">
      <w:rPr>
        <w:b/>
        <w:bCs/>
      </w:rPr>
    </w:tblStylePr>
    <w:tblStylePr w:type="lastCol">
      <w:rPr>
        <w:b/>
        <w:bCs/>
      </w:rPr>
    </w:tblStylePr>
    <w:tblStylePr w:type="band1Vert">
      <w:tblPr/>
      <w:tcPr>
        <w:shd w:val="clear" w:color="auto" w:fill="E5E5E5" w:themeFill="accent5" w:themeFillTint="3F"/>
      </w:tcPr>
    </w:tblStylePr>
    <w:tblStylePr w:type="band1Horz">
      <w:tblPr/>
      <w:tcPr>
        <w:tcBorders>
          <w:insideH w:val="nil"/>
          <w:insideV w:val="nil"/>
        </w:tcBorders>
        <w:shd w:val="clear" w:color="auto" w:fill="E5E5E5"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unhideWhenUsed/>
    <w:rsid w:val="00F978CE"/>
    <w:pPr>
      <w:spacing w:after="0" w:line="240" w:lineRule="auto"/>
    </w:pPr>
    <w:tblPr>
      <w:tblStyleRowBandSize w:val="1"/>
      <w:tblStyleColBandSize w:val="1"/>
      <w:tblBorders>
        <w:top w:val="single" w:sz="8" w:space="0" w:color="D2D2D2" w:themeColor="accent6" w:themeTint="BF"/>
        <w:left w:val="single" w:sz="8" w:space="0" w:color="D2D2D2" w:themeColor="accent6" w:themeTint="BF"/>
        <w:bottom w:val="single" w:sz="8" w:space="0" w:color="D2D2D2" w:themeColor="accent6" w:themeTint="BF"/>
        <w:right w:val="single" w:sz="8" w:space="0" w:color="D2D2D2" w:themeColor="accent6" w:themeTint="BF"/>
        <w:insideH w:val="single" w:sz="8" w:space="0" w:color="D2D2D2" w:themeColor="accent6" w:themeTint="BF"/>
      </w:tblBorders>
    </w:tblPr>
    <w:tblStylePr w:type="firstRow">
      <w:pPr>
        <w:spacing w:before="0" w:after="0" w:line="240" w:lineRule="auto"/>
      </w:pPr>
      <w:rPr>
        <w:b/>
        <w:bCs/>
        <w:color w:val="FFFFFF" w:themeColor="background1"/>
      </w:rPr>
      <w:tblPr/>
      <w:tcPr>
        <w:tcBorders>
          <w:top w:val="single" w:sz="8" w:space="0" w:color="D2D2D2" w:themeColor="accent6" w:themeTint="BF"/>
          <w:left w:val="single" w:sz="8" w:space="0" w:color="D2D2D2" w:themeColor="accent6" w:themeTint="BF"/>
          <w:bottom w:val="single" w:sz="8" w:space="0" w:color="D2D2D2" w:themeColor="accent6" w:themeTint="BF"/>
          <w:right w:val="single" w:sz="8" w:space="0" w:color="D2D2D2" w:themeColor="accent6" w:themeTint="BF"/>
          <w:insideH w:val="nil"/>
          <w:insideV w:val="nil"/>
        </w:tcBorders>
        <w:shd w:val="clear" w:color="auto" w:fill="C3C3C3" w:themeFill="accent6"/>
      </w:tcPr>
    </w:tblStylePr>
    <w:tblStylePr w:type="lastRow">
      <w:pPr>
        <w:spacing w:before="0" w:after="0" w:line="240" w:lineRule="auto"/>
      </w:pPr>
      <w:rPr>
        <w:b/>
        <w:bCs/>
      </w:rPr>
      <w:tblPr/>
      <w:tcPr>
        <w:tcBorders>
          <w:top w:val="double" w:sz="6" w:space="0" w:color="D2D2D2" w:themeColor="accent6" w:themeTint="BF"/>
          <w:left w:val="single" w:sz="8" w:space="0" w:color="D2D2D2" w:themeColor="accent6" w:themeTint="BF"/>
          <w:bottom w:val="single" w:sz="8" w:space="0" w:color="D2D2D2" w:themeColor="accent6" w:themeTint="BF"/>
          <w:right w:val="single" w:sz="8" w:space="0" w:color="D2D2D2" w:themeColor="accent6" w:themeTint="BF"/>
          <w:insideH w:val="nil"/>
          <w:insideV w:val="nil"/>
        </w:tcBorders>
      </w:tcPr>
    </w:tblStylePr>
    <w:tblStylePr w:type="firstCol">
      <w:rPr>
        <w:b/>
        <w:bCs/>
      </w:rPr>
    </w:tblStylePr>
    <w:tblStylePr w:type="lastCol">
      <w:rPr>
        <w:b/>
        <w:bCs/>
      </w:rPr>
    </w:tblStylePr>
    <w:tblStylePr w:type="band1Vert">
      <w:tblPr/>
      <w:tcPr>
        <w:shd w:val="clear" w:color="auto" w:fill="F0F0F0" w:themeFill="accent6" w:themeFillTint="3F"/>
      </w:tcPr>
    </w:tblStylePr>
    <w:tblStylePr w:type="band1Horz">
      <w:tblPr/>
      <w:tcPr>
        <w:tcBorders>
          <w:insideH w:val="nil"/>
          <w:insideV w:val="nil"/>
        </w:tcBorders>
        <w:shd w:val="clear" w:color="auto" w:fill="F0F0F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unhideWhenUsed/>
    <w:rsid w:val="00F978CE"/>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ediumShading2-Accent1">
    <w:name w:val="Medium Shading 2 Accent 1"/>
    <w:basedOn w:val="TableNormal"/>
    <w:uiPriority w:val="64"/>
    <w:unhideWhenUsed/>
    <w:rsid w:val="00F978CE"/>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F005F"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AF005F" w:themeFill="accent1"/>
      </w:tcPr>
    </w:tblStylePr>
    <w:tblStylePr w:type="lastCol">
      <w:rPr>
        <w:b/>
        <w:bCs/>
        <w:color w:val="FFFFFF" w:themeColor="background1"/>
      </w:rPr>
      <w:tblPr/>
      <w:tcPr>
        <w:tcBorders>
          <w:left w:val="nil"/>
          <w:right w:val="nil"/>
          <w:insideH w:val="nil"/>
          <w:insideV w:val="nil"/>
        </w:tcBorders>
        <w:shd w:val="clear" w:color="auto" w:fill="AF005F"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ediumShading2-Accent2">
    <w:name w:val="Medium Shading 2 Accent 2"/>
    <w:basedOn w:val="TableNormal"/>
    <w:uiPriority w:val="64"/>
    <w:unhideWhenUsed/>
    <w:rsid w:val="00F978CE"/>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BF337F"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BF337F" w:themeFill="accent2"/>
      </w:tcPr>
    </w:tblStylePr>
    <w:tblStylePr w:type="lastCol">
      <w:rPr>
        <w:b/>
        <w:bCs/>
        <w:color w:val="FFFFFF" w:themeColor="background1"/>
      </w:rPr>
      <w:tblPr/>
      <w:tcPr>
        <w:tcBorders>
          <w:left w:val="nil"/>
          <w:right w:val="nil"/>
          <w:insideH w:val="nil"/>
          <w:insideV w:val="nil"/>
        </w:tcBorders>
        <w:shd w:val="clear" w:color="auto" w:fill="BF337F"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ediumShading2-Accent3">
    <w:name w:val="Medium Shading 2 Accent 3"/>
    <w:basedOn w:val="TableNormal"/>
    <w:uiPriority w:val="64"/>
    <w:unhideWhenUsed/>
    <w:rsid w:val="00F978CE"/>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C5C9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CC5C99" w:themeFill="accent3"/>
      </w:tcPr>
    </w:tblStylePr>
    <w:tblStylePr w:type="lastCol">
      <w:rPr>
        <w:b/>
        <w:bCs/>
        <w:color w:val="FFFFFF" w:themeColor="background1"/>
      </w:rPr>
      <w:tblPr/>
      <w:tcPr>
        <w:tcBorders>
          <w:left w:val="nil"/>
          <w:right w:val="nil"/>
          <w:insideH w:val="nil"/>
          <w:insideV w:val="nil"/>
        </w:tcBorders>
        <w:shd w:val="clear" w:color="auto" w:fill="CC5C9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ediumShading2-Accent4">
    <w:name w:val="Medium Shading 2 Accent 4"/>
    <w:basedOn w:val="TableNormal"/>
    <w:uiPriority w:val="64"/>
    <w:unhideWhenUsed/>
    <w:rsid w:val="00F978CE"/>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808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808080" w:themeFill="accent4"/>
      </w:tcPr>
    </w:tblStylePr>
    <w:tblStylePr w:type="lastCol">
      <w:rPr>
        <w:b/>
        <w:bCs/>
        <w:color w:val="FFFFFF" w:themeColor="background1"/>
      </w:rPr>
      <w:tblPr/>
      <w:tcPr>
        <w:tcBorders>
          <w:left w:val="nil"/>
          <w:right w:val="nil"/>
          <w:insideH w:val="nil"/>
          <w:insideV w:val="nil"/>
        </w:tcBorders>
        <w:shd w:val="clear" w:color="auto" w:fill="80808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ediumShading2-Accent5">
    <w:name w:val="Medium Shading 2 Accent 5"/>
    <w:basedOn w:val="TableNormal"/>
    <w:uiPriority w:val="64"/>
    <w:unhideWhenUsed/>
    <w:rsid w:val="00F978CE"/>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6969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969696" w:themeFill="accent5"/>
      </w:tcPr>
    </w:tblStylePr>
    <w:tblStylePr w:type="lastCol">
      <w:rPr>
        <w:b/>
        <w:bCs/>
        <w:color w:val="FFFFFF" w:themeColor="background1"/>
      </w:rPr>
      <w:tblPr/>
      <w:tcPr>
        <w:tcBorders>
          <w:left w:val="nil"/>
          <w:right w:val="nil"/>
          <w:insideH w:val="nil"/>
          <w:insideV w:val="nil"/>
        </w:tcBorders>
        <w:shd w:val="clear" w:color="auto" w:fill="96969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ediumShading2-Accent6">
    <w:name w:val="Medium Shading 2 Accent 6"/>
    <w:basedOn w:val="TableNormal"/>
    <w:uiPriority w:val="64"/>
    <w:unhideWhenUsed/>
    <w:rsid w:val="00F978CE"/>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3C3C3"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C3C3C3" w:themeFill="accent6"/>
      </w:tcPr>
    </w:tblStylePr>
    <w:tblStylePr w:type="lastCol">
      <w:rPr>
        <w:b/>
        <w:bCs/>
        <w:color w:val="FFFFFF" w:themeColor="background1"/>
      </w:rPr>
      <w:tblPr/>
      <w:tcPr>
        <w:tcBorders>
          <w:left w:val="nil"/>
          <w:right w:val="nil"/>
          <w:insideH w:val="nil"/>
          <w:insideV w:val="nil"/>
        </w:tcBorders>
        <w:shd w:val="clear" w:color="auto" w:fill="C3C3C3"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character" w:styleId="Mention">
    <w:name w:val="Mention"/>
    <w:basedOn w:val="DefaultParagraphFont"/>
    <w:uiPriority w:val="99"/>
    <w:unhideWhenUsed/>
    <w:rsid w:val="00F978CE"/>
    <w:rPr>
      <w:color w:val="2B579A"/>
      <w:shd w:val="clear" w:color="auto" w:fill="E6E6E6"/>
    </w:rPr>
  </w:style>
  <w:style w:type="paragraph" w:styleId="MessageHeader">
    <w:name w:val="Message Header"/>
    <w:basedOn w:val="Normal"/>
    <w:uiPriority w:val="99"/>
    <w:unhideWhenUsed/>
    <w:rsid w:val="00F978CE"/>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 w:val="24"/>
      <w:szCs w:val="24"/>
    </w:rPr>
  </w:style>
  <w:style w:type="paragraph" w:styleId="NoSpacing">
    <w:name w:val="No Spacing"/>
    <w:uiPriority w:val="99"/>
    <w:unhideWhenUsed/>
    <w:qFormat/>
    <w:rsid w:val="00F978CE"/>
    <w:pPr>
      <w:spacing w:after="0" w:line="240" w:lineRule="auto"/>
    </w:pPr>
    <w:rPr>
      <w:rFonts w:ascii="Arial" w:hAnsi="Arial"/>
      <w:sz w:val="20"/>
    </w:rPr>
  </w:style>
  <w:style w:type="paragraph" w:styleId="NormalWeb">
    <w:name w:val="Normal (Web)"/>
    <w:basedOn w:val="Normal"/>
    <w:uiPriority w:val="99"/>
    <w:unhideWhenUsed/>
    <w:rsid w:val="00F978CE"/>
    <w:rPr>
      <w:rFonts w:ascii="Times New Roman" w:hAnsi="Times New Roman" w:cs="Times New Roman"/>
      <w:sz w:val="24"/>
      <w:szCs w:val="24"/>
    </w:rPr>
  </w:style>
  <w:style w:type="paragraph" w:styleId="NormalIndent">
    <w:name w:val="Normal Indent"/>
    <w:basedOn w:val="Normal"/>
    <w:uiPriority w:val="99"/>
    <w:unhideWhenUsed/>
    <w:rsid w:val="00F978CE"/>
    <w:pPr>
      <w:ind w:left="720"/>
    </w:pPr>
  </w:style>
  <w:style w:type="paragraph" w:styleId="NoteHeading">
    <w:name w:val="Note Heading"/>
    <w:basedOn w:val="Normal"/>
    <w:next w:val="Normal"/>
    <w:uiPriority w:val="99"/>
    <w:unhideWhenUsed/>
    <w:rsid w:val="00F978CE"/>
  </w:style>
  <w:style w:type="character" w:styleId="PageNumber">
    <w:name w:val="page number"/>
    <w:basedOn w:val="DefaultParagraphFont"/>
    <w:unhideWhenUsed/>
    <w:rsid w:val="00BC1E1A"/>
    <w:rPr>
      <w:sz w:val="20"/>
    </w:rPr>
  </w:style>
  <w:style w:type="character" w:styleId="PlaceholderText">
    <w:name w:val="Placeholder Text"/>
    <w:basedOn w:val="DefaultParagraphFont"/>
    <w:uiPriority w:val="99"/>
    <w:unhideWhenUsed/>
    <w:rsid w:val="00F978CE"/>
    <w:rPr>
      <w:color w:val="808080"/>
    </w:rPr>
  </w:style>
  <w:style w:type="table" w:styleId="PlainTable1">
    <w:name w:val="Plain Table 1"/>
    <w:basedOn w:val="TableNormal"/>
    <w:uiPriority w:val="41"/>
    <w:unhideWhenUsed/>
    <w:rsid w:val="00F978CE"/>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2">
    <w:name w:val="Plain Table 2"/>
    <w:basedOn w:val="TableNormal"/>
    <w:uiPriority w:val="42"/>
    <w:unhideWhenUsed/>
    <w:rsid w:val="00F978CE"/>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PlainTable3">
    <w:name w:val="Plain Table 3"/>
    <w:basedOn w:val="TableNormal"/>
    <w:uiPriority w:val="43"/>
    <w:unhideWhenUsed/>
    <w:rsid w:val="00F978CE"/>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44"/>
    <w:unhideWhenUsed/>
    <w:rsid w:val="00F978CE"/>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5">
    <w:name w:val="Plain Table 5"/>
    <w:basedOn w:val="TableNormal"/>
    <w:uiPriority w:val="45"/>
    <w:unhideWhenUsed/>
    <w:rsid w:val="00F978CE"/>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PlainText">
    <w:name w:val="Plain Text"/>
    <w:basedOn w:val="Normal"/>
    <w:uiPriority w:val="99"/>
    <w:unhideWhenUsed/>
    <w:rsid w:val="00F978CE"/>
    <w:rPr>
      <w:rFonts w:ascii="Consolas" w:hAnsi="Consolas"/>
      <w:sz w:val="21"/>
      <w:szCs w:val="21"/>
    </w:rPr>
  </w:style>
  <w:style w:type="paragraph" w:styleId="Quote">
    <w:name w:val="Quote"/>
    <w:basedOn w:val="Normal"/>
    <w:next w:val="Normal"/>
    <w:uiPriority w:val="99"/>
    <w:unhideWhenUsed/>
    <w:qFormat/>
    <w:rsid w:val="00F978CE"/>
    <w:pPr>
      <w:spacing w:before="200" w:after="160"/>
      <w:ind w:left="864" w:right="864"/>
      <w:jc w:val="center"/>
    </w:pPr>
    <w:rPr>
      <w:i/>
      <w:iCs/>
      <w:color w:val="404040" w:themeColor="text1" w:themeTint="BF"/>
    </w:rPr>
  </w:style>
  <w:style w:type="paragraph" w:styleId="Salutation">
    <w:name w:val="Salutation"/>
    <w:basedOn w:val="Normal"/>
    <w:next w:val="Normal"/>
    <w:uiPriority w:val="99"/>
    <w:unhideWhenUsed/>
    <w:rsid w:val="00F978CE"/>
  </w:style>
  <w:style w:type="paragraph" w:styleId="Signature">
    <w:name w:val="Signature"/>
    <w:basedOn w:val="Normal"/>
    <w:uiPriority w:val="99"/>
    <w:unhideWhenUsed/>
    <w:rsid w:val="00F978CE"/>
    <w:pPr>
      <w:ind w:left="4252"/>
    </w:pPr>
  </w:style>
  <w:style w:type="character" w:styleId="SmartHyperlink">
    <w:name w:val="Smart Hyperlink"/>
    <w:basedOn w:val="DefaultParagraphFont"/>
    <w:uiPriority w:val="99"/>
    <w:unhideWhenUsed/>
    <w:rsid w:val="00F978CE"/>
    <w:rPr>
      <w:u w:val="dotted"/>
    </w:rPr>
  </w:style>
  <w:style w:type="character" w:styleId="Strong">
    <w:name w:val="Strong"/>
    <w:basedOn w:val="DefaultParagraphFont"/>
    <w:uiPriority w:val="99"/>
    <w:unhideWhenUsed/>
    <w:qFormat/>
    <w:rsid w:val="00F978CE"/>
    <w:rPr>
      <w:b/>
      <w:bCs/>
    </w:rPr>
  </w:style>
  <w:style w:type="paragraph" w:styleId="Subtitle">
    <w:name w:val="Subtitle"/>
    <w:basedOn w:val="Normal"/>
    <w:next w:val="Normal"/>
    <w:uiPriority w:val="99"/>
    <w:unhideWhenUsed/>
    <w:qFormat/>
    <w:rsid w:val="00F978CE"/>
    <w:pPr>
      <w:numPr>
        <w:ilvl w:val="1"/>
      </w:numPr>
      <w:spacing w:after="160"/>
    </w:pPr>
    <w:rPr>
      <w:rFonts w:asciiTheme="minorHAnsi" w:eastAsiaTheme="minorEastAsia" w:hAnsiTheme="minorHAnsi"/>
      <w:color w:val="5A5A5A" w:themeColor="text1" w:themeTint="A5"/>
      <w:spacing w:val="15"/>
      <w:sz w:val="22"/>
    </w:rPr>
  </w:style>
  <w:style w:type="character" w:styleId="SubtleEmphasis">
    <w:name w:val="Subtle Emphasis"/>
    <w:basedOn w:val="DefaultParagraphFont"/>
    <w:uiPriority w:val="99"/>
    <w:unhideWhenUsed/>
    <w:qFormat/>
    <w:rsid w:val="00F978CE"/>
    <w:rPr>
      <w:i/>
      <w:iCs/>
      <w:color w:val="404040" w:themeColor="text1" w:themeTint="BF"/>
    </w:rPr>
  </w:style>
  <w:style w:type="character" w:styleId="SubtleReference">
    <w:name w:val="Subtle Reference"/>
    <w:basedOn w:val="DefaultParagraphFont"/>
    <w:uiPriority w:val="99"/>
    <w:unhideWhenUsed/>
    <w:qFormat/>
    <w:rsid w:val="00F978CE"/>
    <w:rPr>
      <w:smallCaps/>
      <w:color w:val="5A5A5A" w:themeColor="text1" w:themeTint="A5"/>
    </w:rPr>
  </w:style>
  <w:style w:type="table" w:styleId="Table3Deffects1">
    <w:name w:val="Table 3D effects 1"/>
    <w:basedOn w:val="TableNormal"/>
    <w:uiPriority w:val="99"/>
    <w:unhideWhenUsed/>
    <w:rsid w:val="00F978CE"/>
    <w:pPr>
      <w:spacing w:after="0" w:line="240" w:lineRule="auto"/>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uiPriority w:val="99"/>
    <w:unhideWhenUsed/>
    <w:rsid w:val="00F978CE"/>
    <w:pPr>
      <w:spacing w:after="0" w:line="240" w:lineRule="auto"/>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uiPriority w:val="99"/>
    <w:unhideWhenUsed/>
    <w:rsid w:val="00F978CE"/>
    <w:pPr>
      <w:spacing w:after="0" w:line="240" w:lineRule="auto"/>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uiPriority w:val="99"/>
    <w:unhideWhenUsed/>
    <w:rsid w:val="00F978CE"/>
    <w:pPr>
      <w:spacing w:after="0" w:line="240" w:lineRule="auto"/>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uiPriority w:val="99"/>
    <w:unhideWhenUsed/>
    <w:rsid w:val="00F978CE"/>
    <w:pPr>
      <w:spacing w:after="0" w:line="240" w:lineRule="auto"/>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uiPriority w:val="99"/>
    <w:unhideWhenUsed/>
    <w:rsid w:val="00F978CE"/>
    <w:pPr>
      <w:spacing w:after="0" w:line="240" w:lineRule="auto"/>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uiPriority w:val="99"/>
    <w:unhideWhenUsed/>
    <w:rsid w:val="00F978CE"/>
    <w:pPr>
      <w:spacing w:after="0" w:line="240" w:lineRule="auto"/>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uiPriority w:val="99"/>
    <w:unhideWhenUsed/>
    <w:rsid w:val="00F978CE"/>
    <w:pPr>
      <w:spacing w:after="0" w:line="240" w:lineRule="auto"/>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uiPriority w:val="99"/>
    <w:unhideWhenUsed/>
    <w:rsid w:val="00F978CE"/>
    <w:pPr>
      <w:spacing w:after="0" w:line="240" w:lineRule="auto"/>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uiPriority w:val="99"/>
    <w:unhideWhenUsed/>
    <w:rsid w:val="00F978CE"/>
    <w:pPr>
      <w:spacing w:after="0" w:line="240" w:lineRule="auto"/>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uiPriority w:val="99"/>
    <w:unhideWhenUsed/>
    <w:rsid w:val="00F978CE"/>
    <w:pPr>
      <w:spacing w:after="0" w:line="240" w:lineRule="auto"/>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uiPriority w:val="99"/>
    <w:unhideWhenUsed/>
    <w:rsid w:val="00F978CE"/>
    <w:pPr>
      <w:spacing w:after="0" w:line="240" w:lineRule="auto"/>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uiPriority w:val="99"/>
    <w:unhideWhenUsed/>
    <w:rsid w:val="00F978CE"/>
    <w:pPr>
      <w:spacing w:after="0" w:line="240" w:lineRule="auto"/>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uiPriority w:val="99"/>
    <w:unhideWhenUsed/>
    <w:rsid w:val="00F978CE"/>
    <w:pPr>
      <w:spacing w:after="0" w:line="240" w:lineRule="auto"/>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uiPriority w:val="99"/>
    <w:unhideWhenUsed/>
    <w:rsid w:val="00F978CE"/>
    <w:pPr>
      <w:spacing w:after="0" w:line="240" w:lineRule="auto"/>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uiPriority w:val="99"/>
    <w:unhideWhenUsed/>
    <w:rsid w:val="00F978CE"/>
    <w:pPr>
      <w:spacing w:after="0" w:line="240" w:lineRule="auto"/>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uiPriority w:val="99"/>
    <w:unhideWhenUsed/>
    <w:rsid w:val="00F978CE"/>
    <w:pPr>
      <w:spacing w:after="0" w:line="240" w:lineRule="auto"/>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1">
    <w:name w:val="Table Grid 1"/>
    <w:basedOn w:val="TableNormal"/>
    <w:uiPriority w:val="99"/>
    <w:unhideWhenUsed/>
    <w:rsid w:val="00F978CE"/>
    <w:pPr>
      <w:spacing w:after="0" w:line="240" w:lineRule="auto"/>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uiPriority w:val="99"/>
    <w:unhideWhenUsed/>
    <w:rsid w:val="00F978CE"/>
    <w:pPr>
      <w:spacing w:after="0" w:line="240" w:lineRule="auto"/>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uiPriority w:val="99"/>
    <w:unhideWhenUsed/>
    <w:rsid w:val="00F978CE"/>
    <w:pPr>
      <w:spacing w:after="0" w:line="240" w:lineRule="auto"/>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uiPriority w:val="99"/>
    <w:unhideWhenUsed/>
    <w:rsid w:val="00F978CE"/>
    <w:pPr>
      <w:spacing w:after="0" w:line="240" w:lineRule="auto"/>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uiPriority w:val="99"/>
    <w:unhideWhenUsed/>
    <w:rsid w:val="00F978CE"/>
    <w:pPr>
      <w:spacing w:after="0" w:line="240" w:lineRule="auto"/>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uiPriority w:val="99"/>
    <w:unhideWhenUsed/>
    <w:rsid w:val="00F978CE"/>
    <w:pPr>
      <w:spacing w:after="0" w:line="240" w:lineRule="auto"/>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uiPriority w:val="99"/>
    <w:unhideWhenUsed/>
    <w:rsid w:val="00F978CE"/>
    <w:pPr>
      <w:spacing w:after="0" w:line="240" w:lineRule="auto"/>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uiPriority w:val="99"/>
    <w:unhideWhenUsed/>
    <w:rsid w:val="00F978CE"/>
    <w:pPr>
      <w:spacing w:after="0" w:line="240" w:lineRule="auto"/>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GridLight">
    <w:name w:val="Grid Table Light"/>
    <w:basedOn w:val="TableNormal"/>
    <w:uiPriority w:val="40"/>
    <w:unhideWhenUsed/>
    <w:rsid w:val="00F978CE"/>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eList1">
    <w:name w:val="Table List 1"/>
    <w:basedOn w:val="TableNormal"/>
    <w:uiPriority w:val="99"/>
    <w:unhideWhenUsed/>
    <w:rsid w:val="00F978CE"/>
    <w:pPr>
      <w:spacing w:after="0" w:line="240" w:lineRule="auto"/>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uiPriority w:val="99"/>
    <w:unhideWhenUsed/>
    <w:rsid w:val="00F978CE"/>
    <w:pPr>
      <w:spacing w:after="0" w:line="240" w:lineRule="auto"/>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uiPriority w:val="99"/>
    <w:unhideWhenUsed/>
    <w:rsid w:val="00F978CE"/>
    <w:pPr>
      <w:spacing w:after="0" w:line="240" w:lineRule="auto"/>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uiPriority w:val="99"/>
    <w:unhideWhenUsed/>
    <w:rsid w:val="00F978CE"/>
    <w:pPr>
      <w:spacing w:after="0" w:line="240" w:lineRule="auto"/>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uiPriority w:val="99"/>
    <w:unhideWhenUsed/>
    <w:rsid w:val="00F978CE"/>
    <w:pPr>
      <w:spacing w:after="0" w:line="240" w:lineRule="auto"/>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uiPriority w:val="99"/>
    <w:unhideWhenUsed/>
    <w:rsid w:val="00F978CE"/>
    <w:pPr>
      <w:spacing w:after="0" w:line="240" w:lineRule="auto"/>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uiPriority w:val="99"/>
    <w:unhideWhenUsed/>
    <w:rsid w:val="00F978CE"/>
    <w:pPr>
      <w:spacing w:after="0" w:line="240" w:lineRule="auto"/>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uiPriority w:val="99"/>
    <w:unhideWhenUsed/>
    <w:rsid w:val="00F978CE"/>
    <w:pPr>
      <w:spacing w:after="0" w:line="240" w:lineRule="auto"/>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paragraph" w:styleId="TableofAuthorities">
    <w:name w:val="table of authorities"/>
    <w:basedOn w:val="Normal"/>
    <w:next w:val="Normal"/>
    <w:uiPriority w:val="99"/>
    <w:unhideWhenUsed/>
    <w:rsid w:val="00F978CE"/>
    <w:pPr>
      <w:ind w:left="200" w:hanging="200"/>
    </w:pPr>
  </w:style>
  <w:style w:type="paragraph" w:styleId="TableofFigures">
    <w:name w:val="table of figures"/>
    <w:basedOn w:val="Normal"/>
    <w:next w:val="Normal"/>
    <w:uiPriority w:val="99"/>
    <w:unhideWhenUsed/>
    <w:rsid w:val="00F978CE"/>
  </w:style>
  <w:style w:type="table" w:styleId="TableProfessional">
    <w:name w:val="Table Professional"/>
    <w:basedOn w:val="TableNormal"/>
    <w:uiPriority w:val="99"/>
    <w:unhideWhenUsed/>
    <w:rsid w:val="00F978CE"/>
    <w:pPr>
      <w:spacing w:after="0" w:line="240" w:lineRule="auto"/>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uiPriority w:val="99"/>
    <w:unhideWhenUsed/>
    <w:rsid w:val="00F978CE"/>
    <w:pPr>
      <w:spacing w:after="0" w:line="240" w:lineRule="auto"/>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uiPriority w:val="99"/>
    <w:unhideWhenUsed/>
    <w:rsid w:val="00F978CE"/>
    <w:pPr>
      <w:spacing w:after="0" w:line="240" w:lineRule="auto"/>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uiPriority w:val="99"/>
    <w:unhideWhenUsed/>
    <w:rsid w:val="00F978CE"/>
    <w:pPr>
      <w:spacing w:after="0" w:line="240" w:lineRule="auto"/>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uiPriority w:val="99"/>
    <w:unhideWhenUsed/>
    <w:rsid w:val="00F978CE"/>
    <w:pPr>
      <w:spacing w:after="0" w:line="240" w:lineRule="auto"/>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uiPriority w:val="99"/>
    <w:unhideWhenUsed/>
    <w:rsid w:val="00F978CE"/>
    <w:pPr>
      <w:spacing w:after="0" w:line="240" w:lineRule="auto"/>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uiPriority w:val="99"/>
    <w:unhideWhenUsed/>
    <w:rsid w:val="00F978C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uiPriority w:val="99"/>
    <w:unhideWhenUsed/>
    <w:rsid w:val="00F978CE"/>
    <w:pPr>
      <w:spacing w:after="0" w:line="240" w:lineRule="auto"/>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uiPriority w:val="99"/>
    <w:unhideWhenUsed/>
    <w:rsid w:val="00F978CE"/>
    <w:pPr>
      <w:spacing w:after="0" w:line="240" w:lineRule="auto"/>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uiPriority w:val="99"/>
    <w:unhideWhenUsed/>
    <w:rsid w:val="00F978CE"/>
    <w:pPr>
      <w:spacing w:after="0" w:line="240" w:lineRule="auto"/>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OCHeading">
    <w:name w:val="TOC Heading"/>
    <w:basedOn w:val="Heading1"/>
    <w:next w:val="Normal"/>
    <w:uiPriority w:val="39"/>
    <w:unhideWhenUsed/>
    <w:qFormat/>
    <w:rsid w:val="00F978CE"/>
    <w:pPr>
      <w:keepNext/>
      <w:keepLines/>
      <w:numPr>
        <w:numId w:val="0"/>
      </w:numPr>
      <w:spacing w:before="240"/>
      <w:outlineLvl w:val="9"/>
    </w:pPr>
    <w:rPr>
      <w:rFonts w:asciiTheme="majorHAnsi" w:eastAsiaTheme="majorEastAsia" w:hAnsiTheme="majorHAnsi" w:cstheme="majorBidi"/>
      <w:bCs w:val="0"/>
      <w:color w:val="830046" w:themeColor="accent1" w:themeShade="BF"/>
      <w:sz w:val="32"/>
      <w:lang w:eastAsia="en-US"/>
    </w:rPr>
  </w:style>
  <w:style w:type="numbering" w:customStyle="1" w:styleId="LLScheduleHeading">
    <w:name w:val="LL_ScheduleHeading"/>
    <w:uiPriority w:val="99"/>
    <w:rsid w:val="008B1D97"/>
    <w:pPr>
      <w:numPr>
        <w:numId w:val="35"/>
      </w:numPr>
    </w:pPr>
  </w:style>
  <w:style w:type="paragraph" w:customStyle="1" w:styleId="zSFRefCentred">
    <w:name w:val="zSFRef Centred"/>
    <w:basedOn w:val="Normal"/>
    <w:semiHidden/>
    <w:unhideWhenUsed/>
    <w:rsid w:val="00350E2D"/>
    <w:pPr>
      <w:jc w:val="center"/>
    </w:pPr>
    <w:rPr>
      <w:rFonts w:cs="Times New Roman"/>
      <w:kern w:val="16"/>
      <w:sz w:val="16"/>
    </w:rPr>
  </w:style>
  <w:style w:type="paragraph" w:customStyle="1" w:styleId="CObodynumbering">
    <w:name w:val="CO body numbering"/>
    <w:basedOn w:val="Normal"/>
    <w:rsid w:val="00725E64"/>
    <w:pPr>
      <w:numPr>
        <w:numId w:val="37"/>
      </w:numPr>
      <w:spacing w:after="140" w:line="290" w:lineRule="auto"/>
    </w:pPr>
    <w:rPr>
      <w:rFonts w:eastAsiaTheme="minorEastAsia" w:cs="Times New Roman"/>
      <w:szCs w:val="24"/>
    </w:rPr>
  </w:style>
  <w:style w:type="numbering" w:customStyle="1" w:styleId="FormCOBody">
    <w:name w:val="FormCOBody"/>
    <w:uiPriority w:val="99"/>
    <w:rsid w:val="00D23A38"/>
    <w:pPr>
      <w:numPr>
        <w:numId w:val="36"/>
      </w:numPr>
    </w:pPr>
  </w:style>
  <w:style w:type="paragraph" w:customStyle="1" w:styleId="zConfMarker">
    <w:name w:val="zConfMarker"/>
    <w:basedOn w:val="Normal"/>
    <w:semiHidden/>
    <w:unhideWhenUsed/>
    <w:rsid w:val="00B71AA0"/>
    <w:pPr>
      <w:jc w:val="right"/>
    </w:pPr>
    <w:rPr>
      <w:rFonts w:eastAsiaTheme="minorEastAsia" w:cs="Times New Roman"/>
      <w:b/>
      <w:sz w:val="16"/>
      <w:szCs w:val="24"/>
    </w:rPr>
  </w:style>
  <w:style w:type="paragraph" w:customStyle="1" w:styleId="zDate">
    <w:name w:val="zDate"/>
    <w:basedOn w:val="Normal"/>
    <w:semiHidden/>
    <w:unhideWhenUsed/>
    <w:rsid w:val="00B71AA0"/>
    <w:pPr>
      <w:spacing w:after="160" w:line="290" w:lineRule="auto"/>
    </w:pPr>
    <w:rPr>
      <w:rFonts w:eastAsiaTheme="minorEastAsia" w:cs="Times New Roman"/>
      <w:szCs w:val="24"/>
    </w:rPr>
  </w:style>
  <w:style w:type="paragraph" w:customStyle="1" w:styleId="zDocType">
    <w:name w:val="zDocType"/>
    <w:basedOn w:val="Normal"/>
    <w:semiHidden/>
    <w:unhideWhenUsed/>
    <w:rsid w:val="00B71AA0"/>
    <w:pPr>
      <w:spacing w:before="60" w:after="60"/>
      <w:ind w:left="91"/>
    </w:pPr>
    <w:rPr>
      <w:rFonts w:eastAsiaTheme="minorEastAsia" w:cs="Times New Roman"/>
      <w:b/>
      <w:noProof/>
      <w:color w:val="AF005F"/>
      <w:sz w:val="24"/>
      <w:szCs w:val="24"/>
    </w:rPr>
  </w:style>
  <w:style w:type="paragraph" w:customStyle="1" w:styleId="zDraftMarker">
    <w:name w:val="zDraftMarker"/>
    <w:basedOn w:val="Normal"/>
    <w:semiHidden/>
    <w:unhideWhenUsed/>
    <w:rsid w:val="00B71AA0"/>
    <w:rPr>
      <w:rFonts w:eastAsiaTheme="minorEastAsia" w:cs="Times New Roman"/>
      <w:noProof/>
      <w:color w:val="9A8C7E"/>
      <w:sz w:val="16"/>
      <w:szCs w:val="24"/>
    </w:rPr>
  </w:style>
  <w:style w:type="paragraph" w:customStyle="1" w:styleId="zFormEntries">
    <w:name w:val="zFormEntries"/>
    <w:basedOn w:val="Normal"/>
    <w:semiHidden/>
    <w:unhideWhenUsed/>
    <w:rsid w:val="00B71AA0"/>
    <w:pPr>
      <w:spacing w:before="60" w:after="60" w:line="290" w:lineRule="auto"/>
    </w:pPr>
    <w:rPr>
      <w:rFonts w:eastAsiaTheme="minorEastAsia" w:cs="Times New Roman"/>
      <w:szCs w:val="24"/>
    </w:rPr>
  </w:style>
  <w:style w:type="paragraph" w:customStyle="1" w:styleId="zFormHeaders">
    <w:name w:val="zFormHeaders"/>
    <w:basedOn w:val="Normal"/>
    <w:semiHidden/>
    <w:unhideWhenUsed/>
    <w:rsid w:val="00B71AA0"/>
    <w:pPr>
      <w:spacing w:before="60" w:after="60" w:line="290" w:lineRule="auto"/>
    </w:pPr>
    <w:rPr>
      <w:rFonts w:eastAsiaTheme="minorEastAsia" w:cs="Times New Roman"/>
      <w:noProof/>
      <w:szCs w:val="24"/>
    </w:rPr>
  </w:style>
  <w:style w:type="paragraph" w:customStyle="1" w:styleId="zLogo">
    <w:name w:val="zLogo"/>
    <w:basedOn w:val="Normal"/>
    <w:semiHidden/>
    <w:unhideWhenUsed/>
    <w:rsid w:val="00B71AA0"/>
    <w:pPr>
      <w:spacing w:after="160"/>
    </w:pPr>
    <w:rPr>
      <w:rFonts w:eastAsiaTheme="minorEastAsia" w:cs="Times New Roman"/>
      <w:noProof/>
      <w:szCs w:val="24"/>
    </w:rPr>
  </w:style>
  <w:style w:type="paragraph" w:customStyle="1" w:styleId="zLogoCaption">
    <w:name w:val="zLogoCaption"/>
    <w:basedOn w:val="Normal"/>
    <w:semiHidden/>
    <w:unhideWhenUsed/>
    <w:rsid w:val="00B71AA0"/>
    <w:rPr>
      <w:rFonts w:eastAsiaTheme="minorEastAsia" w:cs="Times New Roman"/>
      <w:noProof/>
      <w:sz w:val="16"/>
      <w:szCs w:val="24"/>
    </w:rPr>
  </w:style>
  <w:style w:type="paragraph" w:customStyle="1" w:styleId="zSpace">
    <w:name w:val="zSpace"/>
    <w:basedOn w:val="Normal"/>
    <w:semiHidden/>
    <w:unhideWhenUsed/>
    <w:rsid w:val="00B71AA0"/>
    <w:pPr>
      <w:spacing w:after="160" w:line="290" w:lineRule="auto"/>
    </w:pPr>
    <w:rPr>
      <w:rFonts w:eastAsiaTheme="minorEastAsia" w:cs="Times New Roman"/>
      <w:szCs w:val="24"/>
    </w:rPr>
  </w:style>
  <w:style w:type="paragraph" w:customStyle="1" w:styleId="zSpacerRow">
    <w:name w:val="zSpacerRow"/>
    <w:basedOn w:val="Normal"/>
    <w:semiHidden/>
    <w:unhideWhenUsed/>
    <w:rsid w:val="00B71AA0"/>
    <w:pPr>
      <w:spacing w:after="160" w:line="290" w:lineRule="auto"/>
    </w:pPr>
    <w:rPr>
      <w:rFonts w:eastAsiaTheme="minorEastAsia" w:cs="Times New Roman"/>
      <w:szCs w:val="24"/>
    </w:rPr>
  </w:style>
  <w:style w:type="paragraph" w:customStyle="1" w:styleId="zSubject">
    <w:name w:val="zSubject"/>
    <w:basedOn w:val="Normal"/>
    <w:semiHidden/>
    <w:unhideWhenUsed/>
    <w:rsid w:val="00B71AA0"/>
    <w:pPr>
      <w:spacing w:after="140" w:line="290" w:lineRule="auto"/>
    </w:pPr>
    <w:rPr>
      <w:rFonts w:eastAsiaTheme="minorEastAsia" w:cs="Times New Roman"/>
      <w:b/>
      <w:sz w:val="23"/>
      <w:szCs w:val="23"/>
    </w:rPr>
  </w:style>
  <w:style w:type="paragraph" w:customStyle="1" w:styleId="zFSNarrativeBanking">
    <w:name w:val="zFSNarrativeBanking"/>
    <w:basedOn w:val="Normal"/>
    <w:semiHidden/>
    <w:unhideWhenUsed/>
    <w:rsid w:val="00E257C1"/>
    <w:pPr>
      <w:spacing w:before="60" w:after="60" w:line="290" w:lineRule="auto"/>
    </w:pPr>
    <w:rPr>
      <w:color w:val="000000" w:themeColor="text1"/>
      <w:kern w:val="20"/>
      <w:sz w:val="36"/>
    </w:rPr>
  </w:style>
  <w:style w:type="character" w:styleId="UnresolvedMention">
    <w:name w:val="Unresolved Mention"/>
    <w:basedOn w:val="DefaultParagraphFont"/>
    <w:uiPriority w:val="99"/>
    <w:unhideWhenUsed/>
    <w:rsid w:val="00371AB7"/>
    <w:rPr>
      <w:color w:val="605E5C"/>
      <w:shd w:val="clear" w:color="auto" w:fill="E1DFDD"/>
    </w:rPr>
  </w:style>
  <w:style w:type="table" w:styleId="ColorfulGrid">
    <w:name w:val="Colorful Grid"/>
    <w:basedOn w:val="TableNormal"/>
    <w:uiPriority w:val="73"/>
    <w:unhideWhenUsed/>
    <w:rsid w:val="00CC592F"/>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unhideWhenUsed/>
    <w:rsid w:val="00CC592F"/>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FBCE0" w:themeFill="accent1" w:themeFillTint="33"/>
    </w:tcPr>
    <w:tblStylePr w:type="firstRow">
      <w:rPr>
        <w:b/>
        <w:bCs/>
      </w:rPr>
      <w:tblPr/>
      <w:tcPr>
        <w:shd w:val="clear" w:color="auto" w:fill="FF79C1" w:themeFill="accent1" w:themeFillTint="66"/>
      </w:tcPr>
    </w:tblStylePr>
    <w:tblStylePr w:type="lastRow">
      <w:rPr>
        <w:b/>
        <w:bCs/>
        <w:color w:val="000000" w:themeColor="text1"/>
      </w:rPr>
      <w:tblPr/>
      <w:tcPr>
        <w:shd w:val="clear" w:color="auto" w:fill="FF79C1" w:themeFill="accent1" w:themeFillTint="66"/>
      </w:tcPr>
    </w:tblStylePr>
    <w:tblStylePr w:type="firstCol">
      <w:rPr>
        <w:color w:val="FFFFFF" w:themeColor="background1"/>
      </w:rPr>
      <w:tblPr/>
      <w:tcPr>
        <w:shd w:val="clear" w:color="auto" w:fill="830046" w:themeFill="accent1" w:themeFillShade="BF"/>
      </w:tcPr>
    </w:tblStylePr>
    <w:tblStylePr w:type="lastCol">
      <w:rPr>
        <w:color w:val="FFFFFF" w:themeColor="background1"/>
      </w:rPr>
      <w:tblPr/>
      <w:tcPr>
        <w:shd w:val="clear" w:color="auto" w:fill="830046" w:themeFill="accent1" w:themeFillShade="BF"/>
      </w:tcPr>
    </w:tblStylePr>
    <w:tblStylePr w:type="band1Vert">
      <w:tblPr/>
      <w:tcPr>
        <w:shd w:val="clear" w:color="auto" w:fill="FF58B2" w:themeFill="accent1" w:themeFillTint="7F"/>
      </w:tcPr>
    </w:tblStylePr>
    <w:tblStylePr w:type="band1Horz">
      <w:tblPr/>
      <w:tcPr>
        <w:shd w:val="clear" w:color="auto" w:fill="FF58B2" w:themeFill="accent1" w:themeFillTint="7F"/>
      </w:tcPr>
    </w:tblStylePr>
  </w:style>
  <w:style w:type="table" w:styleId="ColorfulGrid-Accent2">
    <w:name w:val="Colorful Grid Accent 2"/>
    <w:basedOn w:val="TableNormal"/>
    <w:uiPriority w:val="73"/>
    <w:unhideWhenUsed/>
    <w:rsid w:val="00CC592F"/>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3D4E5" w:themeFill="accent2" w:themeFillTint="33"/>
    </w:tcPr>
    <w:tblStylePr w:type="firstRow">
      <w:rPr>
        <w:b/>
        <w:bCs/>
      </w:rPr>
      <w:tblPr/>
      <w:tcPr>
        <w:shd w:val="clear" w:color="auto" w:fill="E8AACB" w:themeFill="accent2" w:themeFillTint="66"/>
      </w:tcPr>
    </w:tblStylePr>
    <w:tblStylePr w:type="lastRow">
      <w:rPr>
        <w:b/>
        <w:bCs/>
        <w:color w:val="000000" w:themeColor="text1"/>
      </w:rPr>
      <w:tblPr/>
      <w:tcPr>
        <w:shd w:val="clear" w:color="auto" w:fill="E8AACB" w:themeFill="accent2" w:themeFillTint="66"/>
      </w:tcPr>
    </w:tblStylePr>
    <w:tblStylePr w:type="firstCol">
      <w:rPr>
        <w:color w:val="FFFFFF" w:themeColor="background1"/>
      </w:rPr>
      <w:tblPr/>
      <w:tcPr>
        <w:shd w:val="clear" w:color="auto" w:fill="8E265E" w:themeFill="accent2" w:themeFillShade="BF"/>
      </w:tcPr>
    </w:tblStylePr>
    <w:tblStylePr w:type="lastCol">
      <w:rPr>
        <w:color w:val="FFFFFF" w:themeColor="background1"/>
      </w:rPr>
      <w:tblPr/>
      <w:tcPr>
        <w:shd w:val="clear" w:color="auto" w:fill="8E265E" w:themeFill="accent2" w:themeFillShade="BF"/>
      </w:tcPr>
    </w:tblStylePr>
    <w:tblStylePr w:type="band1Vert">
      <w:tblPr/>
      <w:tcPr>
        <w:shd w:val="clear" w:color="auto" w:fill="E295BF" w:themeFill="accent2" w:themeFillTint="7F"/>
      </w:tcPr>
    </w:tblStylePr>
    <w:tblStylePr w:type="band1Horz">
      <w:tblPr/>
      <w:tcPr>
        <w:shd w:val="clear" w:color="auto" w:fill="E295BF" w:themeFill="accent2" w:themeFillTint="7F"/>
      </w:tcPr>
    </w:tblStylePr>
  </w:style>
  <w:style w:type="table" w:styleId="ColorfulGrid-Accent3">
    <w:name w:val="Colorful Grid Accent 3"/>
    <w:basedOn w:val="TableNormal"/>
    <w:uiPriority w:val="73"/>
    <w:unhideWhenUsed/>
    <w:rsid w:val="00CC592F"/>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4DEEA" w:themeFill="accent3" w:themeFillTint="33"/>
    </w:tcPr>
    <w:tblStylePr w:type="firstRow">
      <w:rPr>
        <w:b/>
        <w:bCs/>
      </w:rPr>
      <w:tblPr/>
      <w:tcPr>
        <w:shd w:val="clear" w:color="auto" w:fill="EABDD6" w:themeFill="accent3" w:themeFillTint="66"/>
      </w:tcPr>
    </w:tblStylePr>
    <w:tblStylePr w:type="lastRow">
      <w:rPr>
        <w:b/>
        <w:bCs/>
        <w:color w:val="000000" w:themeColor="text1"/>
      </w:rPr>
      <w:tblPr/>
      <w:tcPr>
        <w:shd w:val="clear" w:color="auto" w:fill="EABDD6" w:themeFill="accent3" w:themeFillTint="66"/>
      </w:tcPr>
    </w:tblStylePr>
    <w:tblStylePr w:type="firstCol">
      <w:rPr>
        <w:color w:val="FFFFFF" w:themeColor="background1"/>
      </w:rPr>
      <w:tblPr/>
      <w:tcPr>
        <w:shd w:val="clear" w:color="auto" w:fill="A83573" w:themeFill="accent3" w:themeFillShade="BF"/>
      </w:tcPr>
    </w:tblStylePr>
    <w:tblStylePr w:type="lastCol">
      <w:rPr>
        <w:color w:val="FFFFFF" w:themeColor="background1"/>
      </w:rPr>
      <w:tblPr/>
      <w:tcPr>
        <w:shd w:val="clear" w:color="auto" w:fill="A83573" w:themeFill="accent3" w:themeFillShade="BF"/>
      </w:tcPr>
    </w:tblStylePr>
    <w:tblStylePr w:type="band1Vert">
      <w:tblPr/>
      <w:tcPr>
        <w:shd w:val="clear" w:color="auto" w:fill="E5ADCB" w:themeFill="accent3" w:themeFillTint="7F"/>
      </w:tcPr>
    </w:tblStylePr>
    <w:tblStylePr w:type="band1Horz">
      <w:tblPr/>
      <w:tcPr>
        <w:shd w:val="clear" w:color="auto" w:fill="E5ADCB" w:themeFill="accent3" w:themeFillTint="7F"/>
      </w:tcPr>
    </w:tblStylePr>
  </w:style>
  <w:style w:type="table" w:styleId="GridTable1Light-Accent1">
    <w:name w:val="Grid Table 1 Light Accent 1"/>
    <w:basedOn w:val="TableNormal"/>
    <w:uiPriority w:val="46"/>
    <w:rsid w:val="00CC592F"/>
    <w:pPr>
      <w:spacing w:after="0" w:line="240" w:lineRule="auto"/>
    </w:pPr>
    <w:tblPr>
      <w:tblStyleRowBandSize w:val="1"/>
      <w:tblStyleColBandSize w:val="1"/>
      <w:tblBorders>
        <w:top w:val="single" w:sz="4" w:space="0" w:color="FF79C1" w:themeColor="accent1" w:themeTint="66"/>
        <w:left w:val="single" w:sz="4" w:space="0" w:color="FF79C1" w:themeColor="accent1" w:themeTint="66"/>
        <w:bottom w:val="single" w:sz="4" w:space="0" w:color="FF79C1" w:themeColor="accent1" w:themeTint="66"/>
        <w:right w:val="single" w:sz="4" w:space="0" w:color="FF79C1" w:themeColor="accent1" w:themeTint="66"/>
        <w:insideH w:val="single" w:sz="4" w:space="0" w:color="FF79C1" w:themeColor="accent1" w:themeTint="66"/>
        <w:insideV w:val="single" w:sz="4" w:space="0" w:color="FF79C1" w:themeColor="accent1" w:themeTint="66"/>
      </w:tblBorders>
    </w:tblPr>
    <w:tblStylePr w:type="firstRow">
      <w:rPr>
        <w:b/>
        <w:bCs/>
      </w:rPr>
      <w:tblPr/>
      <w:tcPr>
        <w:tcBorders>
          <w:bottom w:val="single" w:sz="12" w:space="0" w:color="FF36A2" w:themeColor="accent1" w:themeTint="99"/>
        </w:tcBorders>
      </w:tcPr>
    </w:tblStylePr>
    <w:tblStylePr w:type="lastRow">
      <w:rPr>
        <w:b/>
        <w:bCs/>
      </w:rPr>
      <w:tblPr/>
      <w:tcPr>
        <w:tcBorders>
          <w:top w:val="double" w:sz="2" w:space="0" w:color="FF36A2" w:themeColor="accent1" w:themeTint="99"/>
        </w:tcBorders>
      </w:tcPr>
    </w:tblStylePr>
    <w:tblStylePr w:type="firstCol">
      <w:rPr>
        <w:b/>
        <w:bCs/>
      </w:rPr>
    </w:tblStylePr>
    <w:tblStylePr w:type="lastCol">
      <w:rPr>
        <w:b/>
        <w:bCs/>
      </w:rPr>
    </w:tblStylePr>
  </w:style>
  <w:style w:type="character" w:customStyle="1" w:styleId="FootnoteTextChar">
    <w:name w:val="Footnote Text Char"/>
    <w:basedOn w:val="DefaultParagraphFont"/>
    <w:link w:val="FootnoteText"/>
    <w:rsid w:val="006B063E"/>
    <w:rPr>
      <w:rFonts w:ascii="Arial" w:hAnsi="Arial"/>
      <w:sz w:val="16"/>
      <w:szCs w:val="20"/>
    </w:rPr>
  </w:style>
  <w:style w:type="character" w:customStyle="1" w:styleId="Level3Char">
    <w:name w:val="Level 3 Char"/>
    <w:basedOn w:val="DefaultParagraphFont"/>
    <w:link w:val="Level3"/>
    <w:locked/>
    <w:rsid w:val="00B35ADD"/>
    <w:rPr>
      <w:rFonts w:ascii="Arial" w:hAnsi="Arial" w:cs="Times New Roman"/>
      <w:kern w:val="20"/>
      <w:sz w:val="20"/>
    </w:rPr>
  </w:style>
  <w:style w:type="paragraph" w:styleId="Revision">
    <w:name w:val="Revision"/>
    <w:hidden/>
    <w:uiPriority w:val="99"/>
    <w:semiHidden/>
    <w:rsid w:val="0069145A"/>
    <w:pPr>
      <w:spacing w:after="0" w:line="240" w:lineRule="auto"/>
    </w:pPr>
    <w:rPr>
      <w:rFonts w:ascii="Arial" w:hAnsi="Arial"/>
      <w:sz w:val="20"/>
    </w:rPr>
  </w:style>
  <w:style w:type="paragraph" w:customStyle="1" w:styleId="General2L9">
    <w:name w:val="General 2 L9"/>
    <w:basedOn w:val="Normal"/>
    <w:rsid w:val="003D76C2"/>
    <w:pPr>
      <w:numPr>
        <w:ilvl w:val="8"/>
        <w:numId w:val="169"/>
      </w:numPr>
      <w:spacing w:after="240"/>
      <w:jc w:val="both"/>
    </w:pPr>
    <w:rPr>
      <w:rFonts w:ascii="Times New Roman" w:eastAsia="SimSun" w:hAnsi="Times New Roman" w:cs="Times New Roman"/>
      <w:iCs/>
      <w:sz w:val="24"/>
      <w:szCs w:val="24"/>
      <w:lang w:val="x-none" w:eastAsia="zh-CN" w:bidi="ar-AE"/>
    </w:rPr>
  </w:style>
  <w:style w:type="paragraph" w:customStyle="1" w:styleId="General2L8">
    <w:name w:val="General 2 L8"/>
    <w:basedOn w:val="Normal"/>
    <w:rsid w:val="003D76C2"/>
    <w:pPr>
      <w:numPr>
        <w:ilvl w:val="7"/>
        <w:numId w:val="169"/>
      </w:numPr>
      <w:spacing w:after="240"/>
      <w:jc w:val="both"/>
    </w:pPr>
    <w:rPr>
      <w:rFonts w:ascii="Times New Roman" w:eastAsia="SimSun" w:hAnsi="Times New Roman" w:cs="Times New Roman"/>
      <w:iCs/>
      <w:sz w:val="24"/>
      <w:szCs w:val="24"/>
      <w:lang w:val="x-none" w:eastAsia="zh-CN" w:bidi="ar-AE"/>
    </w:rPr>
  </w:style>
  <w:style w:type="paragraph" w:customStyle="1" w:styleId="General2L7">
    <w:name w:val="General 2 L7"/>
    <w:basedOn w:val="Normal"/>
    <w:rsid w:val="003D76C2"/>
    <w:pPr>
      <w:numPr>
        <w:ilvl w:val="6"/>
        <w:numId w:val="169"/>
      </w:numPr>
      <w:spacing w:after="240"/>
      <w:jc w:val="both"/>
    </w:pPr>
    <w:rPr>
      <w:rFonts w:ascii="Times New Roman" w:eastAsia="SimSun" w:hAnsi="Times New Roman" w:cs="Times New Roman"/>
      <w:iCs/>
      <w:sz w:val="24"/>
      <w:szCs w:val="24"/>
      <w:lang w:val="x-none" w:eastAsia="zh-CN" w:bidi="ar-AE"/>
    </w:rPr>
  </w:style>
  <w:style w:type="paragraph" w:customStyle="1" w:styleId="General2L6">
    <w:name w:val="General 2 L6"/>
    <w:basedOn w:val="Normal"/>
    <w:next w:val="Normal"/>
    <w:rsid w:val="003D76C2"/>
    <w:pPr>
      <w:numPr>
        <w:ilvl w:val="5"/>
        <w:numId w:val="169"/>
      </w:numPr>
      <w:spacing w:after="240"/>
      <w:jc w:val="both"/>
      <w:outlineLvl w:val="5"/>
    </w:pPr>
    <w:rPr>
      <w:rFonts w:ascii="Times New Roman" w:eastAsia="SimSun" w:hAnsi="Times New Roman" w:cs="Times New Roman"/>
      <w:iCs/>
      <w:sz w:val="24"/>
      <w:szCs w:val="24"/>
      <w:lang w:val="x-none" w:eastAsia="zh-CN" w:bidi="ar-AE"/>
    </w:rPr>
  </w:style>
  <w:style w:type="paragraph" w:customStyle="1" w:styleId="General2L5">
    <w:name w:val="General 2 L5"/>
    <w:basedOn w:val="Normal"/>
    <w:next w:val="Normal"/>
    <w:rsid w:val="003D76C2"/>
    <w:pPr>
      <w:numPr>
        <w:ilvl w:val="4"/>
        <w:numId w:val="169"/>
      </w:numPr>
      <w:spacing w:after="240"/>
      <w:jc w:val="both"/>
      <w:outlineLvl w:val="4"/>
    </w:pPr>
    <w:rPr>
      <w:rFonts w:ascii="Times New Roman" w:eastAsia="SimSun" w:hAnsi="Times New Roman" w:cs="Times New Roman"/>
      <w:iCs/>
      <w:sz w:val="24"/>
      <w:szCs w:val="24"/>
      <w:lang w:val="x-none" w:eastAsia="zh-CN" w:bidi="ar-AE"/>
    </w:rPr>
  </w:style>
  <w:style w:type="paragraph" w:customStyle="1" w:styleId="General2L4">
    <w:name w:val="General 2 L4"/>
    <w:basedOn w:val="Normal"/>
    <w:next w:val="BodyText3"/>
    <w:rsid w:val="003D76C2"/>
    <w:pPr>
      <w:numPr>
        <w:ilvl w:val="3"/>
        <w:numId w:val="169"/>
      </w:numPr>
      <w:spacing w:after="240"/>
      <w:jc w:val="both"/>
      <w:outlineLvl w:val="3"/>
    </w:pPr>
    <w:rPr>
      <w:rFonts w:ascii="Times New Roman" w:eastAsia="SimSun" w:hAnsi="Times New Roman" w:cs="Times New Roman"/>
      <w:iCs/>
      <w:sz w:val="24"/>
      <w:szCs w:val="24"/>
      <w:lang w:val="x-none" w:eastAsia="zh-CN" w:bidi="ar-AE"/>
    </w:rPr>
  </w:style>
  <w:style w:type="paragraph" w:customStyle="1" w:styleId="General2L3">
    <w:name w:val="General 2 L3"/>
    <w:basedOn w:val="Normal"/>
    <w:next w:val="BodyText2"/>
    <w:rsid w:val="003D76C2"/>
    <w:pPr>
      <w:numPr>
        <w:ilvl w:val="2"/>
        <w:numId w:val="169"/>
      </w:numPr>
      <w:spacing w:after="240"/>
      <w:jc w:val="both"/>
      <w:outlineLvl w:val="2"/>
    </w:pPr>
    <w:rPr>
      <w:rFonts w:ascii="Times New Roman" w:eastAsia="SimSun" w:hAnsi="Times New Roman" w:cs="Times New Roman"/>
      <w:iCs/>
      <w:sz w:val="24"/>
      <w:szCs w:val="24"/>
      <w:lang w:val="x-none" w:eastAsia="zh-CN" w:bidi="ar-AE"/>
    </w:rPr>
  </w:style>
  <w:style w:type="paragraph" w:customStyle="1" w:styleId="General2L2">
    <w:name w:val="General 2 L2"/>
    <w:basedOn w:val="Normal"/>
    <w:next w:val="Normal"/>
    <w:link w:val="General2L2Char"/>
    <w:rsid w:val="003D76C2"/>
    <w:pPr>
      <w:keepNext/>
      <w:numPr>
        <w:ilvl w:val="1"/>
        <w:numId w:val="169"/>
      </w:numPr>
      <w:suppressAutoHyphens/>
      <w:spacing w:after="240"/>
      <w:outlineLvl w:val="1"/>
    </w:pPr>
    <w:rPr>
      <w:rFonts w:ascii="Times New Roman" w:eastAsia="SimSun" w:hAnsi="Times New Roman" w:cs="Times New Roman"/>
      <w:b/>
      <w:iCs/>
      <w:sz w:val="24"/>
      <w:szCs w:val="24"/>
      <w:lang w:val="x-none" w:eastAsia="zh-CN" w:bidi="ar-AE"/>
    </w:rPr>
  </w:style>
  <w:style w:type="character" w:customStyle="1" w:styleId="General2L2Char">
    <w:name w:val="General 2 L2 Char"/>
    <w:link w:val="General2L2"/>
    <w:rsid w:val="003D76C2"/>
    <w:rPr>
      <w:rFonts w:ascii="Times New Roman" w:eastAsia="SimSun" w:hAnsi="Times New Roman" w:cs="Times New Roman"/>
      <w:b/>
      <w:iCs/>
      <w:sz w:val="24"/>
      <w:szCs w:val="24"/>
      <w:lang w:val="x-none" w:eastAsia="zh-CN" w:bidi="ar-AE"/>
    </w:rPr>
  </w:style>
  <w:style w:type="paragraph" w:customStyle="1" w:styleId="General2L1">
    <w:name w:val="General 2 L1"/>
    <w:basedOn w:val="Normal"/>
    <w:next w:val="Normal"/>
    <w:rsid w:val="003D76C2"/>
    <w:pPr>
      <w:keepNext/>
      <w:numPr>
        <w:numId w:val="169"/>
      </w:numPr>
      <w:suppressAutoHyphens/>
      <w:spacing w:after="240"/>
      <w:outlineLvl w:val="0"/>
    </w:pPr>
    <w:rPr>
      <w:rFonts w:ascii="Times New Roman" w:eastAsia="SimSun" w:hAnsi="Times New Roman" w:cs="Times New Roman"/>
      <w:b/>
      <w:iCs/>
      <w:caps/>
      <w:sz w:val="24"/>
      <w:szCs w:val="24"/>
      <w:lang w:val="x-none" w:eastAsia="zh-CN" w:bidi="ar-AE"/>
    </w:rPr>
  </w:style>
  <w:style w:type="paragraph" w:customStyle="1" w:styleId="schedule20">
    <w:name w:val="schedule2"/>
    <w:basedOn w:val="Normal"/>
    <w:rsid w:val="00544978"/>
    <w:pPr>
      <w:spacing w:after="140" w:line="288" w:lineRule="auto"/>
      <w:ind w:left="680" w:hanging="680"/>
      <w:jc w:val="both"/>
    </w:pPr>
    <w:rPr>
      <w:rFonts w:cs="Arial"/>
      <w:szCs w:val="20"/>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32180522">
      <w:bodyDiv w:val="1"/>
      <w:marLeft w:val="0"/>
      <w:marRight w:val="0"/>
      <w:marTop w:val="0"/>
      <w:marBottom w:val="0"/>
      <w:divBdr>
        <w:top w:val="none" w:sz="0" w:space="0" w:color="auto"/>
        <w:left w:val="none" w:sz="0" w:space="0" w:color="auto"/>
        <w:bottom w:val="none" w:sz="0" w:space="0" w:color="auto"/>
        <w:right w:val="none" w:sz="0" w:space="0" w:color="auto"/>
      </w:divBdr>
    </w:div>
    <w:div w:id="658268156">
      <w:bodyDiv w:val="1"/>
      <w:marLeft w:val="0"/>
      <w:marRight w:val="0"/>
      <w:marTop w:val="0"/>
      <w:marBottom w:val="0"/>
      <w:divBdr>
        <w:top w:val="none" w:sz="0" w:space="0" w:color="auto"/>
        <w:left w:val="none" w:sz="0" w:space="0" w:color="auto"/>
        <w:bottom w:val="none" w:sz="0" w:space="0" w:color="auto"/>
        <w:right w:val="none" w:sz="0" w:space="0" w:color="auto"/>
      </w:divBdr>
    </w:div>
    <w:div w:id="1277250937">
      <w:bodyDiv w:val="1"/>
      <w:marLeft w:val="0"/>
      <w:marRight w:val="0"/>
      <w:marTop w:val="0"/>
      <w:marBottom w:val="0"/>
      <w:divBdr>
        <w:top w:val="none" w:sz="0" w:space="0" w:color="auto"/>
        <w:left w:val="none" w:sz="0" w:space="0" w:color="auto"/>
        <w:bottom w:val="none" w:sz="0" w:space="0" w:color="auto"/>
        <w:right w:val="none" w:sz="0" w:space="0" w:color="auto"/>
      </w:divBdr>
    </w:div>
    <w:div w:id="1670669960">
      <w:bodyDiv w:val="1"/>
      <w:marLeft w:val="0"/>
      <w:marRight w:val="0"/>
      <w:marTop w:val="0"/>
      <w:marBottom w:val="0"/>
      <w:divBdr>
        <w:top w:val="none" w:sz="0" w:space="0" w:color="auto"/>
        <w:left w:val="none" w:sz="0" w:space="0" w:color="auto"/>
        <w:bottom w:val="none" w:sz="0" w:space="0" w:color="auto"/>
        <w:right w:val="none" w:sz="0" w:space="0" w:color="auto"/>
      </w:divBdr>
    </w:div>
    <w:div w:id="177020220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www.ico.org.uk"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fscs.org.uk/" TargetMode="External"/><Relationship Id="rId14" Type="http://schemas.openxmlformats.org/officeDocument/2006/relationships/header" Target="header3.xml"/></Relationships>
</file>

<file path=word/_rels/settings.xml.rels><?xml version="1.0" encoding="UTF-8" standalone="yes"?>
<Relationships xmlns="http://schemas.openxmlformats.org/package/2006/relationships"><Relationship Id="rId1" Type="http://schemas.openxmlformats.org/officeDocument/2006/relationships/attachedTemplate" Target="file:///T:\firmwide\HouseStyle.dotx" TargetMode="External"/></Relationships>
</file>

<file path=word/theme/theme1.xml><?xml version="1.0" encoding="utf-8"?>
<a:theme xmlns:a="http://schemas.openxmlformats.org/drawingml/2006/main" name="Linklaters HouseStyle">
  <a:themeElements>
    <a:clrScheme name="Linklaters HouseStyle colours">
      <a:dk1>
        <a:srgbClr val="000000"/>
      </a:dk1>
      <a:lt1>
        <a:srgbClr val="FFFFFF"/>
      </a:lt1>
      <a:dk2>
        <a:srgbClr val="AF005F"/>
      </a:dk2>
      <a:lt2>
        <a:srgbClr val="969696"/>
      </a:lt2>
      <a:accent1>
        <a:srgbClr val="AF005F"/>
      </a:accent1>
      <a:accent2>
        <a:srgbClr val="BF337F"/>
      </a:accent2>
      <a:accent3>
        <a:srgbClr val="CC5C99"/>
      </a:accent3>
      <a:accent4>
        <a:srgbClr val="808080"/>
      </a:accent4>
      <a:accent5>
        <a:srgbClr val="969696"/>
      </a:accent5>
      <a:accent6>
        <a:srgbClr val="C3C3C3"/>
      </a:accent6>
      <a:hlink>
        <a:srgbClr val="D985B2"/>
      </a:hlink>
      <a:folHlink>
        <a:srgbClr val="ECC4DA"/>
      </a:folHlink>
    </a:clrScheme>
    <a:fontScheme name="Linklaters HouseStyle fonts">
      <a:majorFont>
        <a:latin typeface="Arial"/>
        <a:ea typeface=""/>
        <a:cs typeface="Arial"/>
      </a:majorFont>
      <a:minorFont>
        <a:latin typeface="Arial"/>
        <a:ea typeface=""/>
        <a:cs typeface="Arial"/>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chemeClr val="bg1"/>
        </a:solidFill>
        <a:ln w="9525">
          <a:solidFill>
            <a:schemeClr val="tx1"/>
          </a:solidFill>
        </a:ln>
      </a:spPr>
      <a:bodyPr rtlCol="0" anchor="ctr"/>
      <a:lstStyle>
        <a:defPPr algn="ctr">
          <a:defRPr/>
        </a:defPPr>
      </a:lstStyle>
      <a:style>
        <a:lnRef idx="2">
          <a:schemeClr val="accent1">
            <a:shade val="50000"/>
          </a:schemeClr>
        </a:lnRef>
        <a:fillRef idx="1">
          <a:schemeClr val="accent1"/>
        </a:fillRef>
        <a:effectRef idx="0">
          <a:schemeClr val="accent1"/>
        </a:effectRef>
        <a:fontRef idx="minor">
          <a:schemeClr val="lt1"/>
        </a:fontRef>
      </a:style>
    </a:spDef>
    <a:lnDef>
      <a:spPr>
        <a:ln>
          <a:solidFill>
            <a:schemeClr val="tx1"/>
          </a:solidFill>
        </a:ln>
      </a:spPr>
      <a:bodyPr/>
      <a:lstStyle/>
      <a:style>
        <a:lnRef idx="1">
          <a:schemeClr val="accent1"/>
        </a:lnRef>
        <a:fillRef idx="0">
          <a:schemeClr val="accent1"/>
        </a:fillRef>
        <a:effectRef idx="0">
          <a:schemeClr val="accent1"/>
        </a:effectRef>
        <a:fontRef idx="minor">
          <a:schemeClr val="tx1"/>
        </a:fontRef>
      </a:style>
    </a:lnDef>
  </a:objectDefaults>
  <a:extraClrSchemeLst/>
  <a:custClrLst>
    <a:custClr name="Secondary palette 1">
      <a:srgbClr val="999966"/>
    </a:custClr>
    <a:custClr name="Secondary palette 2">
      <a:srgbClr val="66CCCC"/>
    </a:custClr>
    <a:custClr name="Secondary palette 3">
      <a:srgbClr val="CCCC99"/>
    </a:custClr>
    <a:custClr name="Secondary palette 4">
      <a:srgbClr val="9999CC"/>
    </a:custClr>
    <a:custClr name="Secondary palette 5">
      <a:srgbClr val="669999"/>
    </a:custClr>
    <a:custClr name="Secondary palette 6">
      <a:srgbClr val="666699"/>
    </a:custClr>
    <a:custClr name="Secondary palette 7">
      <a:srgbClr val="99CCFF"/>
    </a:custClr>
    <a:custClr name="Secondary palette 8">
      <a:srgbClr val="99CC99"/>
    </a:custClr>
    <a:custClr name="Secondary palette 9">
      <a:srgbClr val="A9A197"/>
    </a:custClr>
    <a:custClr name="White">
      <a:srgbClr val="FFFFFF"/>
    </a:custClr>
    <a:custClr name="Magenta - 100%">
      <a:srgbClr val="AF005F"/>
    </a:custClr>
    <a:custClr name="Magenta - 80%">
      <a:srgbClr val="BF337F"/>
    </a:custClr>
    <a:custClr name="Magenta - 60%">
      <a:srgbClr val="CC5C99"/>
    </a:custClr>
    <a:custClr name="Magenta - 40%">
      <a:srgbClr val="D985B2"/>
    </a:custClr>
    <a:custClr name="Magenta - 20%">
      <a:srgbClr val="E5ADCC"/>
    </a:custClr>
    <a:custClr name="Magenta - 10%">
      <a:srgbClr val="ECC1DA"/>
    </a:custClr>
    <a:custClr name="Magenta + Black 20%">
      <a:srgbClr val="91004F"/>
    </a:custClr>
    <a:custClr name="Magenta + Black 35%">
      <a:srgbClr val="7B0041"/>
    </a:custClr>
    <a:custClr name="Magenta + Black 50%">
      <a:srgbClr val="660033"/>
    </a:custClr>
    <a:custClr name="White">
      <a:srgbClr val="FFFFFF"/>
    </a:custClr>
    <a:custClr name="Black - 100%">
      <a:srgbClr val="000000"/>
    </a:custClr>
    <a:custClr name="Black - 80%">
      <a:srgbClr val="4D4D4D"/>
    </a:custClr>
    <a:custClr name="Black - 60%">
      <a:srgbClr val="808080"/>
    </a:custClr>
    <a:custClr name="Black - 40%">
      <a:srgbClr val="969696"/>
    </a:custClr>
    <a:custClr name="Black - 20%">
      <a:srgbClr val="C3C3C3"/>
    </a:custClr>
    <a:custClr name="Black - 10%">
      <a:srgbClr val="E6E6E6"/>
    </a:custClr>
    <a:custClr name="White">
      <a:srgbClr val="FFFFFF"/>
    </a:custClr>
    <a:custClr name="White">
      <a:srgbClr val="FFFFFF"/>
    </a:custClr>
    <a:custClr name="White">
      <a:srgbClr val="FFFFFF"/>
    </a:custClr>
    <a:custClr name="White">
      <a:srgbClr val="FFFFFF"/>
    </a:custClr>
    <a:custClr name="Warm Grey 7 - 100%">
      <a:srgbClr val="B0A9A0"/>
    </a:custClr>
    <a:custClr name="Warm Grey 7 - 80%">
      <a:srgbClr val="BFBAB2"/>
    </a:custClr>
    <a:custClr name="Warm Grey 7 - 60%">
      <a:srgbClr val="CFCBC4"/>
    </a:custClr>
    <a:custClr name="Warm Grey 7 - 40%">
      <a:srgbClr val="DFDBD7"/>
    </a:custClr>
    <a:custClr name="Warm Grey 7 - 20%">
      <a:srgbClr val="EFEDEB"/>
    </a:custClr>
    <a:custClr name="Warm Grey 7 - 10%">
      <a:srgbClr val="F7F6F5"/>
    </a:custClr>
    <a:custClr name="White">
      <a:srgbClr val="FFFFFF"/>
    </a:custClr>
    <a:custClr name="Traffic light Red">
      <a:srgbClr val="FF5958"/>
    </a:custClr>
    <a:custClr name="Traffic light Yellow">
      <a:srgbClr val="FCB256"/>
    </a:custClr>
    <a:custClr name="Traffic light Green">
      <a:srgbClr val="8ECC66"/>
    </a:custClr>
    <a:custClr name="Warm Grey 4 - 100%">
      <a:srgbClr val="C9C1B8"/>
    </a:custClr>
    <a:custClr name="Warm Grey 4 - 80%">
      <a:srgbClr val="D9D5CE"/>
    </a:custClr>
    <a:custClr name="Warm Grey 4 - 60%">
      <a:srgbClr val="E2DEDA"/>
    </a:custClr>
    <a:custClr name="Warm Grey 4 - 40%">
      <a:srgbClr val="ECE9E7"/>
    </a:custClr>
    <a:custClr name="Warm Grey 4 - 20%">
      <a:srgbClr val="F6F5F3"/>
    </a:custClr>
    <a:custClr name="Warm Grey 4 - 10%">
      <a:srgbClr val="FAFAF8"/>
    </a:custClr>
    <a:custClr name="White">
      <a:srgbClr val="FFFFFF"/>
    </a:custClr>
    <a:custClr name="Alliance - Allens">
      <a:srgbClr val="0074BF"/>
    </a:custClr>
    <a:custClr name="Alliance - Webber Wentzel">
      <a:srgbClr val="F07D35"/>
    </a:custClr>
    <a:custClr name="Alliance - TTA">
      <a:srgbClr val="007272"/>
    </a:custClr>
  </a:custClrLst>
  <a:extLst>
    <a:ext uri="{05A4C25C-085E-4340-85A3-A5531E510DB2}">
      <thm15:themeFamily xmlns:thm15="http://schemas.microsoft.com/office/thememl/2012/main" name="Linklaters HouseStyle" id="{6E5DF409-2D9F-47EC-BD15-2F635E1084D7}" vid="{5B28F902-603F-4D67-A4EE-D9865CA66CB5}"/>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368E498-19CB-4665-B955-95014E1956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HouseStyle</Template>
  <TotalTime>3</TotalTime>
  <Pages>56</Pages>
  <Words>25269</Words>
  <Characters>133168</Characters>
  <Application>Microsoft Office Word</Application>
  <DocSecurity>0</DocSecurity>
  <Lines>3504</Lines>
  <Paragraphs>1156</Paragraphs>
  <ScaleCrop>false</ScaleCrop>
  <HeadingPairs>
    <vt:vector size="2" baseType="variant">
      <vt:variant>
        <vt:lpstr>Title</vt:lpstr>
      </vt:variant>
      <vt:variant>
        <vt:i4>1</vt:i4>
      </vt:variant>
    </vt:vector>
  </HeadingPairs>
  <TitlesOfParts>
    <vt:vector size="1" baseType="lpstr">
      <vt:lpstr>HouseStyle</vt:lpstr>
    </vt:vector>
  </TitlesOfParts>
  <Company/>
  <LinksUpToDate>false</LinksUpToDate>
  <CharactersWithSpaces>157281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HouseStyle</dc:title>
  <dc:subject/>
  <dc:creator>Any Authorised User</dc:creator>
  <cp:keywords/>
  <dc:description/>
  <cp:lastModifiedBy>Any Authorised User</cp:lastModifiedBy>
  <cp:revision>14</cp:revision>
  <cp:lastPrinted>2025-09-08T13:01:00Z</cp:lastPrinted>
  <dcterms:created xsi:type="dcterms:W3CDTF">2025-09-08T18:38:00Z</dcterms:created>
  <dcterms:modified xsi:type="dcterms:W3CDTF">2025-09-08T18:50:00Z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emplate Version">
    <vt:lpwstr>R.0007</vt:lpwstr>
  </property>
  <property fmtid="{D5CDD505-2E9C-101B-9397-08002B2CF9AE}" pid="3" name="CoverPage">
    <vt:lpwstr>No</vt:lpwstr>
  </property>
  <property fmtid="{D5CDD505-2E9C-101B-9397-08002B2CF9AE}" pid="4" name="Language">
    <vt:lpwstr> </vt:lpwstr>
  </property>
  <property fmtid="{D5CDD505-2E9C-101B-9397-08002B2CF9AE}" pid="5" name="PaperSize">
    <vt:lpwstr>A4</vt:lpwstr>
  </property>
  <property fmtid="{D5CDD505-2E9C-101B-9397-08002B2CF9AE}" pid="6" name="Landscape">
    <vt:lpwstr> </vt:lpwstr>
  </property>
  <property fmtid="{D5CDD505-2E9C-101B-9397-08002B2CF9AE}" pid="7" name="HouseStyle">
    <vt:lpwstr>2</vt:lpwstr>
  </property>
  <property fmtid="{D5CDD505-2E9C-101B-9397-08002B2CF9AE}" pid="8" name="HSChanged">
    <vt:lpwstr>No</vt:lpwstr>
  </property>
  <property fmtid="{D5CDD505-2E9C-101B-9397-08002B2CF9AE}" pid="9" name="HeadPara">
    <vt:i4>1</vt:i4>
  </property>
  <property fmtid="{D5CDD505-2E9C-101B-9397-08002B2CF9AE}" pid="10" name="TOCInsert">
    <vt:lpwstr>Yes</vt:lpwstr>
  </property>
  <property fmtid="{D5CDD505-2E9C-101B-9397-08002B2CF9AE}" pid="11" name="TOCString">
    <vt:lpwstr> </vt:lpwstr>
  </property>
  <property fmtid="{D5CDD505-2E9C-101B-9397-08002B2CF9AE}" pid="12" name="TOCBold">
    <vt:lpwstr>Yes</vt:lpwstr>
  </property>
  <property fmtid="{D5CDD505-2E9C-101B-9397-08002B2CF9AE}" pid="13" name="Chinese">
    <vt:lpwstr>No</vt:lpwstr>
  </property>
  <property fmtid="{D5CDD505-2E9C-101B-9397-08002B2CF9AE}" pid="14" name="Lineleader">
    <vt:lpwstr>No</vt:lpwstr>
  </property>
  <property fmtid="{D5CDD505-2E9C-101B-9397-08002B2CF9AE}" pid="15" name="CoverPageType">
    <vt:lpwstr> </vt:lpwstr>
  </property>
  <property fmtid="{D5CDD505-2E9C-101B-9397-08002B2CF9AE}" pid="16" name="Client Code">
    <vt:lpwstr>10032234</vt:lpwstr>
  </property>
  <property fmtid="{D5CDD505-2E9C-101B-9397-08002B2CF9AE}" pid="17" name="DEDocumentLocation">
    <vt:lpwstr>C:\Users\mgosling\OneDrive - Linklaters\Documents\Documentum\Checkout\FIA European Agent-Trustee Model_FIA Client Clearing Agreement_English Law_Draft 210524_No ETD &amp; nice to haves.docx</vt:lpwstr>
  </property>
  <property fmtid="{D5CDD505-2E9C-101B-9397-08002B2CF9AE}" pid="18" name="Matter Number">
    <vt:lpwstr>L-287387</vt:lpwstr>
  </property>
  <property fmtid="{D5CDD505-2E9C-101B-9397-08002B2CF9AE}" pid="19" name="Document Number">
    <vt:lpwstr>3035810804</vt:lpwstr>
  </property>
  <property fmtid="{D5CDD505-2E9C-101B-9397-08002B2CF9AE}" pid="20" name="Last Modified">
    <vt:lpwstr>08 Sep 2025</vt:lpwstr>
  </property>
  <property fmtid="{D5CDD505-2E9C-101B-9397-08002B2CF9AE}" pid="21" name="Version">
    <vt:lpwstr>111</vt:lpwstr>
  </property>
</Properties>
</file>